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00" w:rsidRDefault="00D20773" w:rsidP="00CE3900">
      <w:pPr>
        <w:tabs>
          <w:tab w:val="left" w:pos="5610"/>
        </w:tabs>
        <w:spacing w:after="120"/>
        <w:rPr>
          <w:rFonts w:ascii="Calibri" w:hAnsi="Calibri" w:cs="Calibri"/>
          <w:noProof/>
          <w:spacing w:val="34"/>
          <w:sz w:val="34"/>
          <w:szCs w:val="34"/>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142875</wp:posOffset>
            </wp:positionH>
            <wp:positionV relativeFrom="paragraph">
              <wp:posOffset>390525</wp:posOffset>
            </wp:positionV>
            <wp:extent cx="1209675" cy="57150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900">
        <w:rPr>
          <w:rFonts w:ascii="Calibri" w:hAnsi="Calibri" w:cs="Calibri"/>
          <w:noProof/>
          <w:spacing w:val="34"/>
          <w:sz w:val="34"/>
          <w:szCs w:val="34"/>
        </w:rPr>
        <w:tab/>
      </w:r>
    </w:p>
    <w:tbl>
      <w:tblPr>
        <w:tblW w:w="0" w:type="auto"/>
        <w:tblInd w:w="-39" w:type="dxa"/>
        <w:tblLook w:val="04A0" w:firstRow="1" w:lastRow="0" w:firstColumn="1" w:lastColumn="0" w:noHBand="0" w:noVBand="1"/>
      </w:tblPr>
      <w:tblGrid>
        <w:gridCol w:w="8227"/>
      </w:tblGrid>
      <w:tr w:rsidR="00CE3900" w:rsidRPr="001F2C7F" w:rsidTr="00B16DA5">
        <w:trPr>
          <w:trHeight w:hRule="exact" w:val="227"/>
        </w:trPr>
        <w:tc>
          <w:tcPr>
            <w:tcW w:w="8227" w:type="dxa"/>
          </w:tcPr>
          <w:p w:rsidR="00CE3900" w:rsidRPr="001F2C7F" w:rsidRDefault="00CE3900" w:rsidP="00B16DA5">
            <w:pPr>
              <w:pStyle w:val="BasicParagraph"/>
              <w:jc w:val="right"/>
              <w:rPr>
                <w:rFonts w:ascii="Calibri" w:hAnsi="Calibri" w:cs="Calibri"/>
                <w:color w:val="595959"/>
                <w:spacing w:val="34"/>
                <w:sz w:val="18"/>
                <w:szCs w:val="18"/>
                <w:lang w:val="ru-RU"/>
              </w:rPr>
            </w:pPr>
            <w:r w:rsidRPr="004B2214">
              <w:rPr>
                <w:rFonts w:ascii="Calibri" w:hAnsi="Calibri" w:cs="Calibri"/>
                <w:color w:val="595959"/>
                <w:sz w:val="18"/>
                <w:szCs w:val="18"/>
                <w:lang w:val="ru-RU"/>
              </w:rPr>
              <w:t>119048</w:t>
            </w:r>
            <w:r w:rsidRPr="001F2C7F">
              <w:rPr>
                <w:rFonts w:ascii="Calibri" w:hAnsi="Calibri" w:cs="Calibri"/>
                <w:color w:val="595959"/>
                <w:sz w:val="18"/>
                <w:szCs w:val="18"/>
                <w:lang w:val="ru-RU"/>
              </w:rPr>
              <w:t>, Россия,</w:t>
            </w:r>
            <w:r w:rsidRPr="004B2214">
              <w:rPr>
                <w:rFonts w:ascii="Calibri" w:hAnsi="Calibri" w:cs="Calibri"/>
                <w:color w:val="595959"/>
                <w:sz w:val="18"/>
                <w:szCs w:val="18"/>
                <w:lang w:val="ru-RU"/>
              </w:rPr>
              <w:t xml:space="preserve"> </w:t>
            </w:r>
            <w:r w:rsidRPr="001F2C7F">
              <w:rPr>
                <w:rFonts w:ascii="Calibri" w:hAnsi="Calibri" w:cs="Calibri"/>
                <w:color w:val="595959"/>
                <w:sz w:val="18"/>
                <w:szCs w:val="18"/>
                <w:lang w:val="ru-RU"/>
              </w:rPr>
              <w:t>Москва, ул. Ефремова, д. 10</w:t>
            </w:r>
          </w:p>
        </w:tc>
      </w:tr>
      <w:tr w:rsidR="00CE3900" w:rsidRPr="001F2C7F" w:rsidTr="00B16DA5">
        <w:trPr>
          <w:trHeight w:hRule="exact" w:val="227"/>
        </w:trPr>
        <w:tc>
          <w:tcPr>
            <w:tcW w:w="8227" w:type="dxa"/>
          </w:tcPr>
          <w:p w:rsidR="00CE3900" w:rsidRPr="001F2C7F" w:rsidRDefault="00CE3900" w:rsidP="00B16DA5">
            <w:pPr>
              <w:pStyle w:val="BasicParagraph"/>
              <w:jc w:val="right"/>
              <w:rPr>
                <w:rFonts w:ascii="Calibri" w:hAnsi="Calibri" w:cs="Calibri"/>
                <w:color w:val="595959"/>
                <w:spacing w:val="34"/>
                <w:sz w:val="18"/>
                <w:szCs w:val="18"/>
                <w:lang w:val="ru-RU"/>
              </w:rPr>
            </w:pPr>
            <w:r w:rsidRPr="001F2C7F">
              <w:rPr>
                <w:rFonts w:ascii="Calibri" w:hAnsi="Calibri" w:cs="Calibri"/>
                <w:color w:val="595959"/>
                <w:sz w:val="18"/>
                <w:szCs w:val="18"/>
                <w:lang w:val="ru-RU"/>
              </w:rPr>
              <w:t>Тел</w:t>
            </w:r>
            <w:r w:rsidRPr="001F2C7F">
              <w:rPr>
                <w:rFonts w:ascii="Calibri" w:hAnsi="Calibri" w:cs="Calibri"/>
                <w:color w:val="595959"/>
                <w:sz w:val="18"/>
                <w:szCs w:val="18"/>
              </w:rPr>
              <w:t>.: +7 495 660 89 50</w:t>
            </w:r>
          </w:p>
        </w:tc>
      </w:tr>
      <w:tr w:rsidR="00CE3900" w:rsidRPr="001F2C7F" w:rsidTr="00B16DA5">
        <w:trPr>
          <w:trHeight w:hRule="exact" w:val="227"/>
        </w:trPr>
        <w:tc>
          <w:tcPr>
            <w:tcW w:w="8227" w:type="dxa"/>
          </w:tcPr>
          <w:p w:rsidR="00CE3900" w:rsidRPr="001F2C7F" w:rsidRDefault="00CE3900" w:rsidP="00B16DA5">
            <w:pPr>
              <w:pStyle w:val="BasicParagraph"/>
              <w:jc w:val="right"/>
              <w:rPr>
                <w:rFonts w:ascii="Calibri" w:hAnsi="Calibri" w:cs="Calibri"/>
                <w:color w:val="595959"/>
                <w:spacing w:val="34"/>
                <w:sz w:val="18"/>
                <w:szCs w:val="18"/>
                <w:lang w:val="ru-RU"/>
              </w:rPr>
            </w:pPr>
            <w:r>
              <w:rPr>
                <w:rFonts w:ascii="Calibri" w:hAnsi="Calibri" w:cs="Calibri"/>
                <w:color w:val="595959"/>
                <w:sz w:val="18"/>
                <w:szCs w:val="18"/>
                <w:lang w:val="en-US"/>
              </w:rPr>
              <w:t>Email: info@tmholding.ru</w:t>
            </w:r>
          </w:p>
        </w:tc>
      </w:tr>
      <w:tr w:rsidR="00CE3900" w:rsidRPr="001F2C7F" w:rsidTr="00B16DA5">
        <w:trPr>
          <w:trHeight w:hRule="exact" w:val="227"/>
        </w:trPr>
        <w:tc>
          <w:tcPr>
            <w:tcW w:w="8227" w:type="dxa"/>
          </w:tcPr>
          <w:p w:rsidR="00CE3900" w:rsidRPr="001F2C7F" w:rsidRDefault="00CE3900" w:rsidP="00B16DA5">
            <w:pPr>
              <w:pStyle w:val="BasicParagraph"/>
              <w:jc w:val="right"/>
              <w:rPr>
                <w:rFonts w:ascii="Calibri" w:hAnsi="Calibri" w:cs="Calibri"/>
                <w:color w:val="595959"/>
                <w:spacing w:val="34"/>
                <w:sz w:val="18"/>
                <w:szCs w:val="18"/>
                <w:lang w:val="ru-RU"/>
              </w:rPr>
            </w:pPr>
            <w:hyperlink r:id="rId8" w:history="1">
              <w:r w:rsidRPr="001F2C7F">
                <w:rPr>
                  <w:rStyle w:val="a6"/>
                  <w:rFonts w:ascii="Calibri" w:hAnsi="Calibri" w:cs="Calibri"/>
                  <w:color w:val="595959"/>
                  <w:sz w:val="18"/>
                  <w:szCs w:val="18"/>
                </w:rPr>
                <w:t>www.tmholding.ru</w:t>
              </w:r>
            </w:hyperlink>
          </w:p>
        </w:tc>
      </w:tr>
    </w:tbl>
    <w:p w:rsidR="00CE3900" w:rsidRDefault="00CE3900" w:rsidP="00CE3900">
      <w:pPr>
        <w:tabs>
          <w:tab w:val="left" w:pos="5610"/>
        </w:tabs>
        <w:spacing w:after="120"/>
        <w:rPr>
          <w:b/>
          <w:bCs/>
          <w:noProof/>
          <w:color w:val="333399"/>
          <w:sz w:val="13"/>
          <w:szCs w:val="13"/>
        </w:rPr>
      </w:pPr>
    </w:p>
    <w:p w:rsidR="00035E04" w:rsidRPr="00CE3900" w:rsidRDefault="00035E04" w:rsidP="00160506">
      <w:pPr>
        <w:jc w:val="center"/>
        <w:rPr>
          <w:rFonts w:ascii="Calibri" w:hAnsi="Calibri" w:cs="Calibri"/>
          <w:b/>
        </w:rPr>
      </w:pPr>
      <w:r w:rsidRPr="00CE3900">
        <w:rPr>
          <w:rFonts w:ascii="Calibri" w:hAnsi="Calibri" w:cs="Calibri"/>
          <w:b/>
        </w:rPr>
        <w:t xml:space="preserve">Сообщение о </w:t>
      </w:r>
      <w:r w:rsidR="00142D12" w:rsidRPr="00CE3900">
        <w:rPr>
          <w:rFonts w:ascii="Calibri" w:hAnsi="Calibri" w:cs="Calibri"/>
          <w:b/>
        </w:rPr>
        <w:t>регистрации проспекта ценных бумаг впоследствии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276"/>
        <w:gridCol w:w="5610"/>
      </w:tblGrid>
      <w:tr w:rsidR="006A0BC9" w:rsidRPr="00CE3900" w:rsidTr="00ED4CF9">
        <w:tc>
          <w:tcPr>
            <w:tcW w:w="5000" w:type="pct"/>
            <w:gridSpan w:val="2"/>
          </w:tcPr>
          <w:p w:rsidR="006A0BC9" w:rsidRPr="00CE3900" w:rsidRDefault="006A0BC9" w:rsidP="00ED4CF9">
            <w:pPr>
              <w:jc w:val="center"/>
              <w:rPr>
                <w:rFonts w:ascii="Calibri" w:hAnsi="Calibri" w:cs="Calibri"/>
              </w:rPr>
            </w:pPr>
            <w:r w:rsidRPr="00CE3900">
              <w:rPr>
                <w:rFonts w:ascii="Calibri" w:hAnsi="Calibri" w:cs="Calibri"/>
              </w:rPr>
              <w:t>1. Общие сведения</w:t>
            </w:r>
          </w:p>
        </w:tc>
      </w:tr>
      <w:tr w:rsidR="005E00D0" w:rsidRPr="00CE3900" w:rsidTr="002F713F">
        <w:tc>
          <w:tcPr>
            <w:tcW w:w="2500" w:type="pct"/>
          </w:tcPr>
          <w:p w:rsidR="005E00D0" w:rsidRPr="00CE3900" w:rsidRDefault="005E00D0" w:rsidP="005E00D0">
            <w:pPr>
              <w:rPr>
                <w:rFonts w:ascii="Calibri" w:hAnsi="Calibri" w:cs="Calibri"/>
              </w:rPr>
            </w:pPr>
            <w:r w:rsidRPr="00CE3900">
              <w:rPr>
                <w:rFonts w:ascii="Calibri" w:hAnsi="Calibri" w:cs="Calibri"/>
              </w:rPr>
              <w:t>1.1. Полное фирменное наименование (для коммерческой организации) или наименование (для некоммерческой организации) эмитента</w:t>
            </w:r>
          </w:p>
        </w:tc>
        <w:tc>
          <w:tcPr>
            <w:tcW w:w="2500" w:type="pct"/>
            <w:vAlign w:val="center"/>
          </w:tcPr>
          <w:p w:rsidR="005E00D0" w:rsidRPr="00CE3900" w:rsidRDefault="00A5433C" w:rsidP="005E00D0">
            <w:pPr>
              <w:rPr>
                <w:rFonts w:ascii="Calibri" w:hAnsi="Calibri" w:cs="Calibri"/>
                <w:b/>
                <w:bCs/>
                <w:i/>
                <w:iCs/>
              </w:rPr>
            </w:pPr>
            <w:r>
              <w:rPr>
                <w:rFonts w:ascii="Calibri" w:hAnsi="Calibri" w:cs="Calibri"/>
                <w:b/>
                <w:bCs/>
                <w:i/>
                <w:iCs/>
              </w:rPr>
              <w:t>а</w:t>
            </w:r>
            <w:r w:rsidR="008D0077" w:rsidRPr="00CE3900">
              <w:rPr>
                <w:rFonts w:ascii="Calibri" w:hAnsi="Calibri" w:cs="Calibri"/>
                <w:b/>
                <w:bCs/>
                <w:i/>
                <w:iCs/>
              </w:rPr>
              <w:t>кционерное общество "Трансмашхолдинг"</w:t>
            </w:r>
          </w:p>
        </w:tc>
      </w:tr>
      <w:tr w:rsidR="005E00D0" w:rsidRPr="00CE3900" w:rsidTr="002F713F">
        <w:tc>
          <w:tcPr>
            <w:tcW w:w="2500" w:type="pct"/>
          </w:tcPr>
          <w:p w:rsidR="005E00D0" w:rsidRPr="00CE3900" w:rsidRDefault="005E00D0" w:rsidP="005E00D0">
            <w:pPr>
              <w:rPr>
                <w:rFonts w:ascii="Calibri" w:hAnsi="Calibri" w:cs="Calibri"/>
              </w:rPr>
            </w:pPr>
            <w:r w:rsidRPr="00CE3900">
              <w:rPr>
                <w:rFonts w:ascii="Calibri" w:hAnsi="Calibri" w:cs="Calibri"/>
              </w:rPr>
              <w:t>1.2. Адрес эмитента, указанный в едином государственном реестре юридических лиц</w:t>
            </w:r>
          </w:p>
        </w:tc>
        <w:tc>
          <w:tcPr>
            <w:tcW w:w="2500" w:type="pct"/>
            <w:vAlign w:val="center"/>
          </w:tcPr>
          <w:p w:rsidR="005E00D0" w:rsidRPr="00CE3900" w:rsidRDefault="008D0077" w:rsidP="005E00D0">
            <w:pPr>
              <w:rPr>
                <w:rFonts w:ascii="Calibri" w:hAnsi="Calibri" w:cs="Calibri"/>
                <w:b/>
                <w:bCs/>
                <w:i/>
                <w:iCs/>
              </w:rPr>
            </w:pPr>
            <w:r w:rsidRPr="00CE3900">
              <w:rPr>
                <w:rFonts w:ascii="Calibri" w:hAnsi="Calibri" w:cs="Calibri"/>
                <w:b/>
                <w:bCs/>
                <w:i/>
                <w:iCs/>
              </w:rPr>
              <w:t>115054, г. Москва, Озерковская наб., д. 54, стр. 1</w:t>
            </w:r>
          </w:p>
        </w:tc>
      </w:tr>
      <w:tr w:rsidR="005E00D0" w:rsidRPr="00CE3900" w:rsidTr="002F713F">
        <w:tc>
          <w:tcPr>
            <w:tcW w:w="2500" w:type="pct"/>
          </w:tcPr>
          <w:p w:rsidR="005E00D0" w:rsidRPr="00CE3900" w:rsidRDefault="005E00D0" w:rsidP="005E00D0">
            <w:pPr>
              <w:rPr>
                <w:rFonts w:ascii="Calibri" w:hAnsi="Calibri" w:cs="Calibri"/>
              </w:rPr>
            </w:pPr>
            <w:r w:rsidRPr="00CE3900">
              <w:rPr>
                <w:rFonts w:ascii="Calibri" w:hAnsi="Calibri" w:cs="Calibri"/>
              </w:rPr>
              <w:t>1.3. Основной государственный регистрационный номер (ОГРН) эмитента (при наличии)</w:t>
            </w:r>
          </w:p>
        </w:tc>
        <w:tc>
          <w:tcPr>
            <w:tcW w:w="2500" w:type="pct"/>
            <w:vAlign w:val="center"/>
          </w:tcPr>
          <w:p w:rsidR="005E00D0" w:rsidRPr="00CE3900" w:rsidRDefault="008D0077" w:rsidP="005E00D0">
            <w:pPr>
              <w:rPr>
                <w:rFonts w:ascii="Calibri" w:hAnsi="Calibri" w:cs="Calibri"/>
                <w:b/>
                <w:bCs/>
                <w:i/>
                <w:iCs/>
              </w:rPr>
            </w:pPr>
            <w:r w:rsidRPr="00CE3900">
              <w:rPr>
                <w:rFonts w:ascii="Calibri" w:hAnsi="Calibri" w:cs="Calibri"/>
                <w:b/>
                <w:bCs/>
                <w:i/>
                <w:iCs/>
              </w:rPr>
              <w:t>1027739893246</w:t>
            </w:r>
          </w:p>
        </w:tc>
      </w:tr>
      <w:tr w:rsidR="005E00D0" w:rsidRPr="00CE3900" w:rsidTr="002F713F">
        <w:tc>
          <w:tcPr>
            <w:tcW w:w="2500" w:type="pct"/>
          </w:tcPr>
          <w:p w:rsidR="005E00D0" w:rsidRPr="00CE3900" w:rsidRDefault="005E00D0" w:rsidP="005E00D0">
            <w:pPr>
              <w:rPr>
                <w:rFonts w:ascii="Calibri" w:hAnsi="Calibri" w:cs="Calibri"/>
              </w:rPr>
            </w:pPr>
            <w:r w:rsidRPr="00CE3900">
              <w:rPr>
                <w:rFonts w:ascii="Calibri" w:hAnsi="Calibri" w:cs="Calibri"/>
              </w:rPr>
              <w:t>1.4. Иденти</w:t>
            </w:r>
            <w:r w:rsidR="0063545B">
              <w:rPr>
                <w:rFonts w:ascii="Calibri" w:hAnsi="Calibri" w:cs="Calibri"/>
              </w:rPr>
              <w:t>фикационный номер налогоплательщ</w:t>
            </w:r>
            <w:r w:rsidRPr="00CE3900">
              <w:rPr>
                <w:rFonts w:ascii="Calibri" w:hAnsi="Calibri" w:cs="Calibri"/>
              </w:rPr>
              <w:t>ика (ИНН) эмитента (при наличии)</w:t>
            </w:r>
          </w:p>
        </w:tc>
        <w:tc>
          <w:tcPr>
            <w:tcW w:w="2500" w:type="pct"/>
            <w:vAlign w:val="center"/>
          </w:tcPr>
          <w:p w:rsidR="005E00D0" w:rsidRPr="00CE3900" w:rsidRDefault="008D0077" w:rsidP="005E00D0">
            <w:pPr>
              <w:rPr>
                <w:rFonts w:ascii="Calibri" w:hAnsi="Calibri" w:cs="Calibri"/>
                <w:b/>
                <w:bCs/>
                <w:i/>
                <w:iCs/>
              </w:rPr>
            </w:pPr>
            <w:r w:rsidRPr="00CE3900">
              <w:rPr>
                <w:rFonts w:ascii="Calibri" w:hAnsi="Calibri" w:cs="Calibri"/>
                <w:b/>
                <w:bCs/>
                <w:i/>
                <w:iCs/>
              </w:rPr>
              <w:t>7723199790</w:t>
            </w:r>
          </w:p>
        </w:tc>
      </w:tr>
      <w:tr w:rsidR="005E00D0" w:rsidRPr="00CE3900" w:rsidTr="002F713F">
        <w:tc>
          <w:tcPr>
            <w:tcW w:w="2500" w:type="pct"/>
          </w:tcPr>
          <w:p w:rsidR="005E00D0" w:rsidRPr="00CE3900" w:rsidRDefault="005E00D0" w:rsidP="005E00D0">
            <w:pPr>
              <w:rPr>
                <w:rFonts w:ascii="Calibri" w:hAnsi="Calibri" w:cs="Calibri"/>
              </w:rPr>
            </w:pPr>
            <w:r w:rsidRPr="00CE3900">
              <w:rPr>
                <w:rFonts w:ascii="Calibri" w:hAnsi="Calibri" w:cs="Calibri"/>
              </w:rPr>
              <w:t>1.5. Уникальный код эмитента, присвоенный Банком России</w:t>
            </w:r>
          </w:p>
        </w:tc>
        <w:tc>
          <w:tcPr>
            <w:tcW w:w="2500" w:type="pct"/>
            <w:vAlign w:val="center"/>
          </w:tcPr>
          <w:p w:rsidR="005E00D0" w:rsidRPr="00CE3900" w:rsidRDefault="005E00D0" w:rsidP="005E00D0">
            <w:pPr>
              <w:rPr>
                <w:rFonts w:ascii="Calibri" w:hAnsi="Calibri" w:cs="Calibri"/>
                <w:b/>
                <w:bCs/>
                <w:i/>
                <w:iCs/>
              </w:rPr>
            </w:pPr>
            <w:r w:rsidRPr="00CE3900">
              <w:rPr>
                <w:rFonts w:ascii="Calibri" w:hAnsi="Calibri" w:cs="Calibri"/>
                <w:b/>
                <w:bCs/>
                <w:i/>
                <w:iCs/>
              </w:rPr>
              <w:t>36383-R</w:t>
            </w:r>
          </w:p>
        </w:tc>
      </w:tr>
      <w:tr w:rsidR="005E00D0" w:rsidRPr="00CE3900" w:rsidTr="002F713F">
        <w:tc>
          <w:tcPr>
            <w:tcW w:w="2500" w:type="pct"/>
          </w:tcPr>
          <w:p w:rsidR="005E00D0" w:rsidRPr="00CE3900" w:rsidRDefault="005E00D0" w:rsidP="005E00D0">
            <w:pPr>
              <w:rPr>
                <w:rFonts w:ascii="Calibri" w:hAnsi="Calibri" w:cs="Calibri"/>
              </w:rPr>
            </w:pPr>
            <w:r w:rsidRPr="00CE3900">
              <w:rPr>
                <w:rFonts w:ascii="Calibri" w:hAnsi="Calibri" w:cs="Calibri"/>
              </w:rPr>
              <w:t>1.6. Адрес страницы в сети «Интернет», используемой эмитентом для раскрытия информации</w:t>
            </w:r>
          </w:p>
        </w:tc>
        <w:tc>
          <w:tcPr>
            <w:tcW w:w="2500" w:type="pct"/>
            <w:vAlign w:val="center"/>
          </w:tcPr>
          <w:p w:rsidR="008D0077" w:rsidRPr="00CE3900" w:rsidRDefault="008D0077" w:rsidP="008D0077">
            <w:pPr>
              <w:jc w:val="left"/>
              <w:rPr>
                <w:rFonts w:ascii="Calibri" w:hAnsi="Calibri" w:cs="Calibri"/>
                <w:b/>
                <w:bCs/>
                <w:i/>
                <w:iCs/>
              </w:rPr>
            </w:pPr>
            <w:r w:rsidRPr="00CE3900">
              <w:rPr>
                <w:rFonts w:ascii="Calibri" w:hAnsi="Calibri" w:cs="Calibri"/>
                <w:b/>
                <w:bCs/>
                <w:i/>
                <w:iCs/>
              </w:rPr>
              <w:t>https://www.e-disclosure.ru/portal/company.aspx?id=4426</w:t>
            </w:r>
          </w:p>
          <w:p w:rsidR="005E00D0" w:rsidRPr="00CE3900" w:rsidRDefault="008D0077" w:rsidP="008D0077">
            <w:pPr>
              <w:rPr>
                <w:rFonts w:ascii="Calibri" w:hAnsi="Calibri" w:cs="Calibri"/>
                <w:b/>
                <w:bCs/>
                <w:i/>
                <w:iCs/>
              </w:rPr>
            </w:pPr>
            <w:r w:rsidRPr="00CE3900">
              <w:rPr>
                <w:rFonts w:ascii="Calibri" w:hAnsi="Calibri" w:cs="Calibri"/>
                <w:b/>
                <w:bCs/>
                <w:i/>
                <w:iCs/>
              </w:rPr>
              <w:t>http://www.tmholding.ru</w:t>
            </w:r>
          </w:p>
        </w:tc>
      </w:tr>
      <w:tr w:rsidR="005E00D0" w:rsidRPr="00CE3900" w:rsidTr="002F713F">
        <w:tc>
          <w:tcPr>
            <w:tcW w:w="2500" w:type="pct"/>
            <w:tcBorders>
              <w:top w:val="single" w:sz="4" w:space="0" w:color="auto"/>
              <w:left w:val="single" w:sz="4" w:space="0" w:color="auto"/>
              <w:bottom w:val="single" w:sz="4" w:space="0" w:color="auto"/>
              <w:right w:val="single" w:sz="4" w:space="0" w:color="auto"/>
            </w:tcBorders>
          </w:tcPr>
          <w:p w:rsidR="005E00D0" w:rsidRPr="00CE3900" w:rsidRDefault="005E00D0" w:rsidP="005E00D0">
            <w:pPr>
              <w:rPr>
                <w:rFonts w:ascii="Calibri" w:hAnsi="Calibri" w:cs="Calibri"/>
              </w:rPr>
            </w:pPr>
            <w:r w:rsidRPr="00CE3900">
              <w:rPr>
                <w:rFonts w:ascii="Calibri" w:hAnsi="Calibri" w:cs="Calibri"/>
              </w:rPr>
              <w:t>1.7. Дата наступления события (существенного факта), о котором составлено сообщение</w:t>
            </w:r>
          </w:p>
        </w:tc>
        <w:tc>
          <w:tcPr>
            <w:tcW w:w="2500" w:type="pct"/>
            <w:tcBorders>
              <w:top w:val="single" w:sz="4" w:space="0" w:color="auto"/>
              <w:left w:val="single" w:sz="4" w:space="0" w:color="auto"/>
              <w:bottom w:val="single" w:sz="4" w:space="0" w:color="auto"/>
              <w:right w:val="single" w:sz="4" w:space="0" w:color="auto"/>
            </w:tcBorders>
            <w:vAlign w:val="center"/>
          </w:tcPr>
          <w:p w:rsidR="005E00D0" w:rsidRPr="00CE3900" w:rsidRDefault="008D0077" w:rsidP="008D0077">
            <w:pPr>
              <w:rPr>
                <w:rFonts w:ascii="Calibri" w:hAnsi="Calibri" w:cs="Calibri"/>
                <w:b/>
                <w:bCs/>
                <w:i/>
                <w:iCs/>
              </w:rPr>
            </w:pPr>
            <w:r w:rsidRPr="00CE3900">
              <w:rPr>
                <w:rFonts w:ascii="Calibri" w:hAnsi="Calibri" w:cs="Calibri"/>
                <w:b/>
                <w:bCs/>
                <w:i/>
                <w:iCs/>
              </w:rPr>
              <w:t>12</w:t>
            </w:r>
            <w:r w:rsidR="005E00D0" w:rsidRPr="00CE3900">
              <w:rPr>
                <w:rFonts w:ascii="Calibri" w:hAnsi="Calibri" w:cs="Calibri"/>
                <w:b/>
                <w:bCs/>
                <w:i/>
                <w:iCs/>
              </w:rPr>
              <w:t>.0</w:t>
            </w:r>
            <w:r w:rsidRPr="00CE3900">
              <w:rPr>
                <w:rFonts w:ascii="Calibri" w:hAnsi="Calibri" w:cs="Calibri"/>
                <w:b/>
                <w:bCs/>
                <w:i/>
                <w:iCs/>
              </w:rPr>
              <w:t>5</w:t>
            </w:r>
            <w:r w:rsidR="005E00D0" w:rsidRPr="00CE3900">
              <w:rPr>
                <w:rFonts w:ascii="Calibri" w:hAnsi="Calibri" w:cs="Calibri"/>
                <w:b/>
                <w:bCs/>
                <w:i/>
                <w:iCs/>
              </w:rPr>
              <w:t>.202</w:t>
            </w:r>
            <w:r w:rsidR="000970F6" w:rsidRPr="00CE3900">
              <w:rPr>
                <w:rFonts w:ascii="Calibri" w:hAnsi="Calibri" w:cs="Calibri"/>
                <w:b/>
                <w:bCs/>
                <w:i/>
                <w:iCs/>
              </w:rPr>
              <w:t>6</w:t>
            </w:r>
          </w:p>
        </w:tc>
      </w:tr>
    </w:tbl>
    <w:p w:rsidR="006A0BC9" w:rsidRPr="00CE3900" w:rsidRDefault="006A0BC9" w:rsidP="00ED4CF9">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886"/>
      </w:tblGrid>
      <w:tr w:rsidR="00C712B4" w:rsidRPr="00CE3900" w:rsidTr="00E31D9B">
        <w:tblPrEx>
          <w:tblCellMar>
            <w:top w:w="0" w:type="dxa"/>
            <w:bottom w:w="0" w:type="dxa"/>
          </w:tblCellMar>
        </w:tblPrEx>
        <w:tc>
          <w:tcPr>
            <w:tcW w:w="5000" w:type="pct"/>
          </w:tcPr>
          <w:p w:rsidR="00C712B4" w:rsidRPr="00CE3900" w:rsidRDefault="00C712B4">
            <w:pPr>
              <w:jc w:val="center"/>
              <w:rPr>
                <w:rFonts w:ascii="Calibri" w:hAnsi="Calibri" w:cs="Calibri"/>
                <w:szCs w:val="22"/>
              </w:rPr>
            </w:pPr>
            <w:r w:rsidRPr="00CE3900">
              <w:rPr>
                <w:rFonts w:ascii="Calibri" w:hAnsi="Calibri" w:cs="Calibri"/>
                <w:szCs w:val="22"/>
              </w:rPr>
              <w:t>2. Содержание сообщения</w:t>
            </w:r>
          </w:p>
        </w:tc>
      </w:tr>
      <w:tr w:rsidR="00C712B4" w:rsidRPr="00CE3900" w:rsidTr="00E31D9B">
        <w:tblPrEx>
          <w:tblCellMar>
            <w:top w:w="0" w:type="dxa"/>
            <w:bottom w:w="0" w:type="dxa"/>
          </w:tblCellMar>
        </w:tblPrEx>
        <w:tc>
          <w:tcPr>
            <w:tcW w:w="5000" w:type="pct"/>
          </w:tcPr>
          <w:p w:rsidR="000970F6" w:rsidRPr="00CE3900" w:rsidRDefault="00E27FFD" w:rsidP="00E27FFD">
            <w:pPr>
              <w:rPr>
                <w:rFonts w:ascii="Calibri" w:hAnsi="Calibri" w:cs="Calibri"/>
                <w:szCs w:val="22"/>
              </w:rPr>
            </w:pPr>
            <w:r w:rsidRPr="00CE3900">
              <w:rPr>
                <w:rFonts w:ascii="Calibri" w:hAnsi="Calibri" w:cs="Calibri"/>
                <w:szCs w:val="22"/>
              </w:rPr>
              <w:t xml:space="preserve">2.1. Идентификационные признаки ценных бумаг: </w:t>
            </w:r>
          </w:p>
          <w:p w:rsidR="00E27FFD" w:rsidRPr="00CE3900" w:rsidRDefault="002A1708" w:rsidP="002A1708">
            <w:pPr>
              <w:rPr>
                <w:rFonts w:ascii="Calibri" w:hAnsi="Calibri" w:cs="Calibri"/>
                <w:b/>
                <w:i/>
                <w:szCs w:val="22"/>
              </w:rPr>
            </w:pPr>
            <w:r w:rsidRPr="00CE3900">
              <w:rPr>
                <w:rFonts w:ascii="Calibri" w:hAnsi="Calibri" w:cs="Calibri"/>
                <w:b/>
                <w:bCs/>
                <w:i/>
                <w:iCs/>
              </w:rPr>
              <w:t>биржевые облигации неконвертируемые процентные документарные</w:t>
            </w:r>
            <w:r w:rsidR="009612F6" w:rsidRPr="00CE3900">
              <w:rPr>
                <w:rFonts w:ascii="Calibri" w:hAnsi="Calibri" w:cs="Calibri"/>
                <w:b/>
                <w:bCs/>
                <w:i/>
                <w:iCs/>
              </w:rPr>
              <w:t>*</w:t>
            </w:r>
            <w:r w:rsidRPr="00CE3900">
              <w:rPr>
                <w:rFonts w:ascii="Calibri" w:hAnsi="Calibri" w:cs="Calibri"/>
                <w:b/>
                <w:bCs/>
                <w:i/>
                <w:iCs/>
              </w:rPr>
              <w:t xml:space="preserve"> на предъявителя с обязательным централизованным хранением</w:t>
            </w:r>
            <w:r w:rsidR="00E27FFD" w:rsidRPr="00CE3900">
              <w:rPr>
                <w:rFonts w:ascii="Calibri" w:hAnsi="Calibri" w:cs="Calibri"/>
                <w:b/>
                <w:i/>
                <w:szCs w:val="22"/>
              </w:rPr>
              <w:t xml:space="preserve">, </w:t>
            </w:r>
            <w:r w:rsidR="009612F6" w:rsidRPr="00CE3900">
              <w:rPr>
                <w:rFonts w:ascii="Calibri" w:hAnsi="Calibri" w:cs="Calibri"/>
                <w:b/>
                <w:i/>
                <w:szCs w:val="22"/>
              </w:rPr>
              <w:t>и</w:t>
            </w:r>
            <w:r w:rsidRPr="00CE3900">
              <w:rPr>
                <w:rFonts w:ascii="Calibri" w:hAnsi="Calibri" w:cs="Calibri"/>
                <w:b/>
                <w:i/>
                <w:szCs w:val="22"/>
              </w:rPr>
              <w:t>дентификационный номер программы облигаций</w:t>
            </w:r>
            <w:r w:rsidR="009612F6" w:rsidRPr="00CE3900">
              <w:rPr>
                <w:rFonts w:ascii="Calibri" w:hAnsi="Calibri" w:cs="Calibri"/>
                <w:b/>
                <w:i/>
                <w:szCs w:val="22"/>
              </w:rPr>
              <w:t xml:space="preserve"> </w:t>
            </w:r>
            <w:r w:rsidRPr="00CE3900">
              <w:rPr>
                <w:rFonts w:ascii="Calibri" w:hAnsi="Calibri" w:cs="Calibri"/>
                <w:b/>
                <w:i/>
                <w:szCs w:val="22"/>
              </w:rPr>
              <w:t>4-35992-H-001P-02E</w:t>
            </w:r>
            <w:r w:rsidR="009612F6" w:rsidRPr="00CE3900">
              <w:rPr>
                <w:rFonts w:ascii="Calibri" w:hAnsi="Calibri" w:cs="Calibri"/>
                <w:b/>
                <w:i/>
                <w:szCs w:val="22"/>
              </w:rPr>
              <w:t xml:space="preserve"> </w:t>
            </w:r>
            <w:r w:rsidR="00E27FFD" w:rsidRPr="00CE3900">
              <w:rPr>
                <w:rFonts w:ascii="Calibri" w:hAnsi="Calibri" w:cs="Calibri"/>
                <w:b/>
                <w:i/>
                <w:szCs w:val="22"/>
              </w:rPr>
              <w:t xml:space="preserve">от </w:t>
            </w:r>
            <w:r w:rsidR="009612F6" w:rsidRPr="00CE3900">
              <w:rPr>
                <w:rFonts w:ascii="Calibri" w:hAnsi="Calibri" w:cs="Calibri"/>
                <w:b/>
                <w:i/>
                <w:szCs w:val="22"/>
              </w:rPr>
              <w:t>23.12.2016</w:t>
            </w:r>
            <w:r w:rsidR="00E27FFD" w:rsidRPr="00CE3900">
              <w:rPr>
                <w:rFonts w:ascii="Calibri" w:hAnsi="Calibri" w:cs="Calibri"/>
                <w:b/>
                <w:i/>
                <w:szCs w:val="22"/>
              </w:rPr>
              <w:t xml:space="preserve"> (далее - Программа), размещаемые по открытой подписке (далее – Биржевые облигации).</w:t>
            </w:r>
          </w:p>
          <w:p w:rsidR="009612F6" w:rsidRPr="00CE3900" w:rsidRDefault="009612F6" w:rsidP="00E27FFD">
            <w:pPr>
              <w:rPr>
                <w:rFonts w:ascii="Calibri" w:hAnsi="Calibri" w:cs="Calibri"/>
                <w:b/>
                <w:i/>
                <w:szCs w:val="22"/>
              </w:rPr>
            </w:pPr>
            <w:r w:rsidRPr="00CE3900">
              <w:rPr>
                <w:rFonts w:ascii="Calibri" w:hAnsi="Calibri" w:cs="Calibri"/>
                <w:b/>
                <w:i/>
                <w:szCs w:val="22"/>
              </w:rPr>
              <w:t>* Документарные облигации, в том числе с обязательным централизованным хранением, размещение которых началось до 01.01.2020 (до дня вступления в силу Федерального закона от 27.12.2018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являются документарными ценными бумагами до их погашения. Облигации, выпуск которых регистрируется после 01.01.2020, независимо от условий, содержащихся в программе облигаций, могут быть только бездокументарными ценными бумагами.</w:t>
            </w:r>
          </w:p>
          <w:p w:rsidR="000970F6" w:rsidRPr="00CE3900" w:rsidRDefault="00E27FFD" w:rsidP="00E27FFD">
            <w:pPr>
              <w:rPr>
                <w:rFonts w:ascii="Calibri" w:hAnsi="Calibri" w:cs="Calibri"/>
                <w:szCs w:val="22"/>
              </w:rPr>
            </w:pPr>
            <w:r w:rsidRPr="00CE3900">
              <w:rPr>
                <w:rFonts w:ascii="Calibri" w:hAnsi="Calibri" w:cs="Calibri"/>
                <w:szCs w:val="22"/>
              </w:rPr>
              <w:t xml:space="preserve">2.2. Срок (порядок определения срока) погашения, предусмотренный решением о выпуске облигаций или опционов эмитента (максимальный срок погашения облигаций, размещаемых в рамках программы облигаций), либо сведения о том, что срок погашения облигаций не определяется (для облигаций без срока погашения): </w:t>
            </w:r>
          </w:p>
          <w:p w:rsidR="009612F6" w:rsidRPr="00CE3900" w:rsidRDefault="009612F6" w:rsidP="009612F6">
            <w:pPr>
              <w:rPr>
                <w:rFonts w:ascii="Calibri" w:hAnsi="Calibri" w:cs="Calibri"/>
                <w:b/>
                <w:bCs/>
                <w:i/>
                <w:iCs/>
                <w:lang w:eastAsia="ru-RU"/>
              </w:rPr>
            </w:pPr>
            <w:r w:rsidRPr="00CE3900">
              <w:rPr>
                <w:rFonts w:ascii="Calibri" w:hAnsi="Calibri" w:cs="Calibri"/>
                <w:b/>
                <w:bCs/>
                <w:i/>
                <w:iCs/>
              </w:rPr>
              <w:t xml:space="preserve">Максимальный срок погашения Биржевых облигаций, размещаемых в рамках Программы облигаций, составляет 3 640 (Три тысячи шестьсот сорок) дней включительно с даты начала их размещения. </w:t>
            </w:r>
          </w:p>
          <w:p w:rsidR="000970F6" w:rsidRPr="00CE3900" w:rsidRDefault="00E27FFD" w:rsidP="00E27FFD">
            <w:pPr>
              <w:rPr>
                <w:rFonts w:ascii="Calibri" w:hAnsi="Calibri" w:cs="Calibri"/>
                <w:szCs w:val="22"/>
              </w:rPr>
            </w:pPr>
            <w:r w:rsidRPr="00CE3900">
              <w:rPr>
                <w:rFonts w:ascii="Calibri" w:hAnsi="Calibri" w:cs="Calibri"/>
                <w:szCs w:val="22"/>
              </w:rPr>
              <w:t xml:space="preserve">2.3. Регистрационный номер выпуска ценных бумаг (программы облигаций) и дата его (ее) регистрации, а в случае наличия дополнительных выпусков ценных бумаг - также дата регистрации каждого дополнительного выпуска ценных бумаг: </w:t>
            </w:r>
          </w:p>
          <w:p w:rsidR="00E27FFD" w:rsidRPr="00CE3900" w:rsidRDefault="009612F6" w:rsidP="00E27FFD">
            <w:pPr>
              <w:rPr>
                <w:rFonts w:ascii="Calibri" w:hAnsi="Calibri" w:cs="Calibri"/>
                <w:szCs w:val="22"/>
              </w:rPr>
            </w:pPr>
            <w:r w:rsidRPr="00CE3900">
              <w:rPr>
                <w:rFonts w:ascii="Calibri" w:hAnsi="Calibri" w:cs="Calibri"/>
                <w:b/>
                <w:i/>
                <w:szCs w:val="22"/>
              </w:rPr>
              <w:t>Идентификационный номер программы облигаций 4-35992-H-001P-02E от 23.12.2016</w:t>
            </w:r>
            <w:r w:rsidR="004668A0" w:rsidRPr="00CE3900">
              <w:rPr>
                <w:rFonts w:ascii="Calibri" w:hAnsi="Calibri" w:cs="Calibri"/>
                <w:b/>
                <w:i/>
                <w:szCs w:val="22"/>
              </w:rPr>
              <w:t>.</w:t>
            </w:r>
          </w:p>
          <w:p w:rsidR="00E27FFD" w:rsidRPr="00CE3900" w:rsidRDefault="00E27FFD" w:rsidP="00E27FFD">
            <w:pPr>
              <w:rPr>
                <w:rFonts w:ascii="Calibri" w:hAnsi="Calibri" w:cs="Calibri"/>
                <w:szCs w:val="22"/>
              </w:rPr>
            </w:pPr>
            <w:r w:rsidRPr="00CE3900">
              <w:rPr>
                <w:rFonts w:ascii="Calibri" w:hAnsi="Calibri" w:cs="Calibri"/>
                <w:szCs w:val="22"/>
              </w:rPr>
              <w:t xml:space="preserve">2.4. Дата государственной регистрации отчета (представления уведомления) об итогах выпуска ценных бумаг, а в случае наличия дополнительных выпусков ценных бумаг - также дата государственной регистрации отчета </w:t>
            </w:r>
            <w:r w:rsidRPr="00CE3900">
              <w:rPr>
                <w:rFonts w:ascii="Calibri" w:hAnsi="Calibri" w:cs="Calibri"/>
                <w:szCs w:val="22"/>
              </w:rPr>
              <w:lastRenderedPageBreak/>
              <w:t xml:space="preserve">(представления уведомления) об итогах каждого дополнительного выпуска ценных бумаг или указание на то, что государственная регистрация отчета (представление уведомления) об итогах выпуска (дополнительного выпуска) ценных бумаг не осуществлена, с приведением объясняющих обстоятельств: </w:t>
            </w:r>
            <w:r w:rsidR="004668A0" w:rsidRPr="00CE3900">
              <w:rPr>
                <w:rFonts w:ascii="Calibri" w:hAnsi="Calibri" w:cs="Calibri"/>
                <w:b/>
                <w:i/>
                <w:szCs w:val="22"/>
              </w:rPr>
              <w:t>не применимо.</w:t>
            </w:r>
          </w:p>
          <w:p w:rsidR="00E27FFD" w:rsidRPr="00CE3900" w:rsidRDefault="00E27FFD" w:rsidP="00E27FFD">
            <w:pPr>
              <w:rPr>
                <w:rFonts w:ascii="Calibri" w:hAnsi="Calibri" w:cs="Calibri"/>
                <w:szCs w:val="22"/>
              </w:rPr>
            </w:pPr>
            <w:r w:rsidRPr="00CE3900">
              <w:rPr>
                <w:rFonts w:ascii="Calibri" w:hAnsi="Calibri" w:cs="Calibri"/>
                <w:szCs w:val="22"/>
              </w:rPr>
              <w:t xml:space="preserve">2.5. Количество ценных бумаг выпуска, а при наличии дополнительного выпуска ценных бумаг, которому был присвоен индивидуальный код и </w:t>
            </w:r>
            <w:r w:rsidR="000970F6" w:rsidRPr="00CE3900">
              <w:rPr>
                <w:rFonts w:ascii="Calibri" w:hAnsi="Calibri" w:cs="Calibri"/>
                <w:szCs w:val="22"/>
              </w:rPr>
              <w:t>в отношении,</w:t>
            </w:r>
            <w:r w:rsidRPr="00CE3900">
              <w:rPr>
                <w:rFonts w:ascii="Calibri" w:hAnsi="Calibri" w:cs="Calibri"/>
                <w:szCs w:val="22"/>
              </w:rPr>
              <w:t xml:space="preserve"> которого в установленном порядке не принято решение об аннулировании присвоенного индивидуального кода дополнительного выпуска ценных бумаг, - также количество ценных бумаг дополнительного выпуска: </w:t>
            </w:r>
            <w:r w:rsidR="00E02D24" w:rsidRPr="00CE3900">
              <w:rPr>
                <w:rFonts w:ascii="Calibri" w:hAnsi="Calibri" w:cs="Calibri"/>
                <w:b/>
                <w:i/>
                <w:szCs w:val="22"/>
              </w:rPr>
              <w:t>не применимо.</w:t>
            </w:r>
          </w:p>
          <w:p w:rsidR="000970F6" w:rsidRPr="00CE3900" w:rsidRDefault="00E27FFD" w:rsidP="00E27FFD">
            <w:pPr>
              <w:rPr>
                <w:rFonts w:ascii="Calibri" w:hAnsi="Calibri" w:cs="Calibri"/>
                <w:szCs w:val="22"/>
              </w:rPr>
            </w:pPr>
            <w:r w:rsidRPr="00CE3900">
              <w:rPr>
                <w:rFonts w:ascii="Calibri" w:hAnsi="Calibri" w:cs="Calibri"/>
                <w:szCs w:val="22"/>
              </w:rPr>
              <w:t xml:space="preserve">2.6. Номинальная стоимость (для акций и облигаций) каждой ценной бумаги выпуска либо максимальная сумма номинальных стоимостей облигаций, размещаемых в рамках программы облигаций: </w:t>
            </w:r>
          </w:p>
          <w:p w:rsidR="009612F6" w:rsidRPr="00CE3900" w:rsidRDefault="009612F6" w:rsidP="009612F6">
            <w:pPr>
              <w:rPr>
                <w:rFonts w:ascii="Calibri" w:hAnsi="Calibri" w:cs="Calibri"/>
                <w:b/>
                <w:bCs/>
                <w:i/>
                <w:iCs/>
              </w:rPr>
            </w:pPr>
            <w:r w:rsidRPr="00CE3900">
              <w:rPr>
                <w:rFonts w:ascii="Calibri" w:hAnsi="Calibri" w:cs="Calibri"/>
                <w:b/>
                <w:bCs/>
                <w:i/>
                <w:iCs/>
              </w:rPr>
              <w:t>Максимальная сумма номинальных стоимостей Биржевых облигаций, которые могут быть размещены в рамках Программы облигаций, составляет 200 000 000 000 (Двести миллиардов) российских рублей включительно или эквивалент этой суммы в иностранной валюте, рассчитываемый по курсу Банка России на дату подписания Эмитентом Условий выпуска.</w:t>
            </w:r>
          </w:p>
          <w:p w:rsidR="000970F6" w:rsidRPr="00CE3900" w:rsidRDefault="00E27FFD" w:rsidP="00E27FFD">
            <w:pPr>
              <w:rPr>
                <w:rFonts w:ascii="Calibri" w:hAnsi="Calibri" w:cs="Calibri"/>
                <w:szCs w:val="22"/>
              </w:rPr>
            </w:pPr>
            <w:r w:rsidRPr="00CE3900">
              <w:rPr>
                <w:rFonts w:ascii="Calibri" w:hAnsi="Calibri" w:cs="Calibri"/>
                <w:szCs w:val="22"/>
              </w:rPr>
              <w:t xml:space="preserve">2.7. Дата регистрации проспекта ценных бумаг, зарегистрированного впоследствии: </w:t>
            </w:r>
          </w:p>
          <w:p w:rsidR="00E27FFD" w:rsidRPr="00CE3900" w:rsidRDefault="009612F6" w:rsidP="00E27FFD">
            <w:pPr>
              <w:rPr>
                <w:rFonts w:ascii="Calibri" w:hAnsi="Calibri" w:cs="Calibri"/>
                <w:szCs w:val="22"/>
              </w:rPr>
            </w:pPr>
            <w:r w:rsidRPr="00CE3900">
              <w:rPr>
                <w:rFonts w:ascii="Calibri" w:hAnsi="Calibri" w:cs="Calibri"/>
                <w:b/>
                <w:i/>
                <w:szCs w:val="22"/>
              </w:rPr>
              <w:t>12</w:t>
            </w:r>
            <w:r w:rsidR="00E02D24" w:rsidRPr="00CE3900">
              <w:rPr>
                <w:rFonts w:ascii="Calibri" w:hAnsi="Calibri" w:cs="Calibri"/>
                <w:b/>
                <w:i/>
                <w:szCs w:val="22"/>
              </w:rPr>
              <w:t>.0</w:t>
            </w:r>
            <w:r w:rsidRPr="00CE3900">
              <w:rPr>
                <w:rFonts w:ascii="Calibri" w:hAnsi="Calibri" w:cs="Calibri"/>
                <w:b/>
                <w:i/>
                <w:szCs w:val="22"/>
              </w:rPr>
              <w:t>5</w:t>
            </w:r>
            <w:r w:rsidR="00E02D24" w:rsidRPr="00CE3900">
              <w:rPr>
                <w:rFonts w:ascii="Calibri" w:hAnsi="Calibri" w:cs="Calibri"/>
                <w:b/>
                <w:i/>
                <w:szCs w:val="22"/>
              </w:rPr>
              <w:t>.202</w:t>
            </w:r>
            <w:r w:rsidR="000970F6" w:rsidRPr="00CE3900">
              <w:rPr>
                <w:rFonts w:ascii="Calibri" w:hAnsi="Calibri" w:cs="Calibri"/>
                <w:b/>
                <w:i/>
                <w:szCs w:val="22"/>
              </w:rPr>
              <w:t>6</w:t>
            </w:r>
            <w:r w:rsidR="00E02D24" w:rsidRPr="00CE3900">
              <w:rPr>
                <w:rFonts w:ascii="Calibri" w:hAnsi="Calibri" w:cs="Calibri"/>
                <w:b/>
                <w:i/>
                <w:szCs w:val="22"/>
              </w:rPr>
              <w:t>.</w:t>
            </w:r>
          </w:p>
          <w:p w:rsidR="00E27FFD" w:rsidRPr="00CE3900" w:rsidRDefault="00E27FFD" w:rsidP="00E27FFD">
            <w:pPr>
              <w:rPr>
                <w:rFonts w:ascii="Calibri" w:hAnsi="Calibri" w:cs="Calibri"/>
                <w:szCs w:val="22"/>
              </w:rPr>
            </w:pPr>
            <w:r w:rsidRPr="00CE3900">
              <w:rPr>
                <w:rFonts w:ascii="Calibri" w:hAnsi="Calibri" w:cs="Calibri"/>
                <w:szCs w:val="22"/>
              </w:rPr>
              <w:t xml:space="preserve">2.8. Наименование лица, осуществившего регистрацию проспекта ценных бумаг впоследствии (Банк России, биржа): </w:t>
            </w:r>
            <w:r w:rsidR="00E02D24" w:rsidRPr="00CE3900">
              <w:rPr>
                <w:rFonts w:ascii="Calibri" w:hAnsi="Calibri" w:cs="Calibri"/>
                <w:b/>
                <w:i/>
                <w:szCs w:val="22"/>
              </w:rPr>
              <w:t>Биржа - Публичное акционерное общество "Московская Биржа ММВБ-РТС".</w:t>
            </w:r>
          </w:p>
          <w:p w:rsidR="000970F6" w:rsidRPr="00CE3900" w:rsidRDefault="00E27FFD" w:rsidP="00E27FFD">
            <w:pPr>
              <w:rPr>
                <w:rFonts w:ascii="Calibri" w:hAnsi="Calibri" w:cs="Calibri"/>
                <w:szCs w:val="22"/>
              </w:rPr>
            </w:pPr>
            <w:r w:rsidRPr="00CE3900">
              <w:rPr>
                <w:rFonts w:ascii="Calibri" w:hAnsi="Calibri" w:cs="Calibri"/>
                <w:szCs w:val="22"/>
              </w:rPr>
              <w:t xml:space="preserve">2.9. В случае если регистрация нового проспекта ценных бумаг осуществлена в целях соблюдения требования, предусмотренного </w:t>
            </w:r>
            <w:hyperlink r:id="rId9" w:history="1">
              <w:r w:rsidRPr="00CE3900">
                <w:rPr>
                  <w:rStyle w:val="a6"/>
                  <w:rFonts w:ascii="Calibri" w:hAnsi="Calibri" w:cs="Calibri"/>
                  <w:szCs w:val="22"/>
                </w:rPr>
                <w:t>пунктом 12 статьи 22</w:t>
              </w:r>
            </w:hyperlink>
            <w:r w:rsidRPr="00CE3900">
              <w:rPr>
                <w:rFonts w:ascii="Calibri" w:hAnsi="Calibri" w:cs="Calibri"/>
                <w:szCs w:val="22"/>
              </w:rPr>
              <w:t xml:space="preserve"> Федерального закона "О рынке ценных бумаг", о размещении ценных бумаг не более чем в течение одного года с даты регистрации проспекта ценных бумаг, указывается данное обстоятельство: </w:t>
            </w:r>
          </w:p>
          <w:p w:rsidR="00E27FFD" w:rsidRPr="00CE3900" w:rsidRDefault="00E02D24" w:rsidP="00E27FFD">
            <w:pPr>
              <w:rPr>
                <w:rFonts w:ascii="Calibri" w:hAnsi="Calibri" w:cs="Calibri"/>
                <w:szCs w:val="22"/>
              </w:rPr>
            </w:pPr>
            <w:r w:rsidRPr="00CE3900">
              <w:rPr>
                <w:rFonts w:ascii="Calibri" w:hAnsi="Calibri" w:cs="Calibri"/>
                <w:b/>
                <w:i/>
                <w:szCs w:val="22"/>
              </w:rPr>
              <w:t xml:space="preserve">Регистрация нового проспекта ценных бумаг осуществлена в целях соблюдения требования, предусмотренного </w:t>
            </w:r>
            <w:hyperlink r:id="rId10" w:history="1">
              <w:r w:rsidRPr="00CE3900">
                <w:rPr>
                  <w:rStyle w:val="a6"/>
                  <w:rFonts w:ascii="Calibri" w:hAnsi="Calibri" w:cs="Calibri"/>
                  <w:b/>
                  <w:i/>
                  <w:szCs w:val="22"/>
                </w:rPr>
                <w:t>пунктом 12 статьи 22</w:t>
              </w:r>
            </w:hyperlink>
            <w:r w:rsidRPr="00CE3900">
              <w:rPr>
                <w:rFonts w:ascii="Calibri" w:hAnsi="Calibri" w:cs="Calibri"/>
                <w:b/>
                <w:i/>
                <w:szCs w:val="22"/>
              </w:rPr>
              <w:t xml:space="preserve"> Федерального закона "О рынке ценных бумаг", о размещении ценных бумаг не более чем в течение одного года с даты регистрации проспекта ценных бумаг.</w:t>
            </w:r>
          </w:p>
          <w:p w:rsidR="000970F6" w:rsidRPr="00CE3900" w:rsidRDefault="00E27FFD" w:rsidP="00E02D24">
            <w:pPr>
              <w:rPr>
                <w:rFonts w:ascii="Calibri" w:hAnsi="Calibri" w:cs="Calibri"/>
                <w:szCs w:val="22"/>
              </w:rPr>
            </w:pPr>
            <w:r w:rsidRPr="00CE3900">
              <w:rPr>
                <w:rFonts w:ascii="Calibri" w:hAnsi="Calibri" w:cs="Calibri"/>
                <w:szCs w:val="22"/>
              </w:rPr>
              <w:t xml:space="preserve">2.10. Порядок доступа к информации, содержащейся в проспекте ценных бумаг, зарегистрированном впоследствии: </w:t>
            </w:r>
          </w:p>
          <w:p w:rsidR="00466545" w:rsidRPr="00CE3900" w:rsidRDefault="00E02D24" w:rsidP="00E02D24">
            <w:pPr>
              <w:rPr>
                <w:rFonts w:ascii="Calibri" w:hAnsi="Calibri" w:cs="Calibri"/>
                <w:szCs w:val="22"/>
              </w:rPr>
            </w:pPr>
            <w:r w:rsidRPr="00CE3900">
              <w:rPr>
                <w:rFonts w:ascii="Calibri" w:hAnsi="Calibri" w:cs="Calibri"/>
                <w:b/>
                <w:i/>
                <w:szCs w:val="22"/>
              </w:rPr>
              <w:t>Эмитент обязан опубликовать текст проспекта ценных бумаг, зарегистрированного впоследствии, на странице в сети "Интернет" в срок не позднее 2 рабочих дней с даты опубликования информации о регистрации проспекта ценных бумаг впоследствии на официальном сайте биржи в сети "Интернет" либо с даты получения эмитентом документов, подтверждающих принятие биржей решения о регистрации проспекта ценных бумаг впоследствии, в зависимости от того, какая из указанных дат наступит раньше.</w:t>
            </w:r>
          </w:p>
        </w:tc>
      </w:tr>
    </w:tbl>
    <w:p w:rsidR="005C62BA" w:rsidRPr="003D0336" w:rsidRDefault="005C62BA" w:rsidP="005C62BA">
      <w:pPr>
        <w:rPr>
          <w:szCs w:val="22"/>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3515"/>
      </w:tblGrid>
      <w:tr w:rsidR="00CE3900" w:rsidRPr="0055568C" w:rsidTr="00CE3900">
        <w:tblPrEx>
          <w:tblCellMar>
            <w:top w:w="0" w:type="dxa"/>
            <w:bottom w:w="0" w:type="dxa"/>
          </w:tblCellMar>
        </w:tblPrEx>
        <w:trPr>
          <w:cantSplit/>
          <w:trHeight w:val="123"/>
        </w:trPr>
        <w:tc>
          <w:tcPr>
            <w:tcW w:w="10773" w:type="dxa"/>
            <w:gridSpan w:val="10"/>
          </w:tcPr>
          <w:p w:rsidR="00CE3900" w:rsidRPr="0055568C" w:rsidRDefault="00CE3900" w:rsidP="00B16DA5">
            <w:pPr>
              <w:jc w:val="center"/>
              <w:rPr>
                <w:rFonts w:ascii="Calibri" w:hAnsi="Calibri" w:cs="Calibri"/>
                <w:sz w:val="20"/>
              </w:rPr>
            </w:pPr>
            <w:r w:rsidRPr="0055568C">
              <w:rPr>
                <w:rFonts w:ascii="Calibri" w:hAnsi="Calibri" w:cs="Calibri"/>
                <w:sz w:val="20"/>
              </w:rPr>
              <w:t>3. Подпись</w:t>
            </w:r>
          </w:p>
        </w:tc>
      </w:tr>
      <w:tr w:rsidR="00CE3900" w:rsidRPr="0055568C" w:rsidTr="00CE39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857"/>
        </w:trPr>
        <w:tc>
          <w:tcPr>
            <w:tcW w:w="4423" w:type="dxa"/>
            <w:gridSpan w:val="7"/>
            <w:tcBorders>
              <w:left w:val="single" w:sz="4" w:space="0" w:color="auto"/>
            </w:tcBorders>
          </w:tcPr>
          <w:p w:rsidR="00CE3900" w:rsidRPr="00D30C7B" w:rsidRDefault="00CE3900" w:rsidP="00CE3900">
            <w:pPr>
              <w:numPr>
                <w:ilvl w:val="1"/>
                <w:numId w:val="5"/>
              </w:numPr>
              <w:spacing w:before="0" w:after="0" w:line="276" w:lineRule="auto"/>
              <w:ind w:right="57"/>
              <w:jc w:val="left"/>
              <w:rPr>
                <w:rFonts w:ascii="Calibri" w:hAnsi="Calibri" w:cs="Calibri"/>
                <w:b/>
                <w:bCs/>
                <w:iCs/>
                <w:sz w:val="20"/>
                <w:lang w:eastAsia="en-US"/>
              </w:rPr>
            </w:pPr>
            <w:r w:rsidRPr="00D30C7B">
              <w:rPr>
                <w:rFonts w:ascii="Calibri" w:hAnsi="Calibri" w:cs="Calibri"/>
                <w:b/>
                <w:bCs/>
                <w:iCs/>
                <w:sz w:val="20"/>
              </w:rPr>
              <w:t xml:space="preserve">Заместитель генерального директора по экономике и финансам </w:t>
            </w:r>
          </w:p>
          <w:p w:rsidR="00CE3900" w:rsidRPr="00D30C7B" w:rsidRDefault="00CE3900" w:rsidP="00B16DA5">
            <w:pPr>
              <w:spacing w:line="276" w:lineRule="auto"/>
              <w:rPr>
                <w:rFonts w:ascii="Calibri" w:hAnsi="Calibri" w:cs="Calibri"/>
                <w:b/>
                <w:bCs/>
                <w:iCs/>
                <w:sz w:val="20"/>
              </w:rPr>
            </w:pPr>
          </w:p>
        </w:tc>
        <w:tc>
          <w:tcPr>
            <w:tcW w:w="1984" w:type="dxa"/>
            <w:tcBorders>
              <w:top w:val="single" w:sz="4" w:space="0" w:color="auto"/>
              <w:left w:val="nil"/>
              <w:bottom w:val="single" w:sz="4" w:space="0" w:color="auto"/>
              <w:right w:val="nil"/>
            </w:tcBorders>
            <w:vAlign w:val="bottom"/>
          </w:tcPr>
          <w:p w:rsidR="00CE3900" w:rsidRPr="00D30C7B" w:rsidRDefault="00CE3900" w:rsidP="00B16DA5">
            <w:pPr>
              <w:spacing w:line="276" w:lineRule="auto"/>
              <w:jc w:val="center"/>
              <w:rPr>
                <w:rFonts w:ascii="Calibri" w:hAnsi="Calibri" w:cs="Calibri"/>
                <w:b/>
                <w:bCs/>
                <w:iCs/>
                <w:sz w:val="20"/>
              </w:rPr>
            </w:pPr>
          </w:p>
        </w:tc>
        <w:tc>
          <w:tcPr>
            <w:tcW w:w="851" w:type="dxa"/>
            <w:tcBorders>
              <w:top w:val="single" w:sz="4" w:space="0" w:color="auto"/>
              <w:left w:val="nil"/>
              <w:bottom w:val="nil"/>
            </w:tcBorders>
            <w:vAlign w:val="bottom"/>
          </w:tcPr>
          <w:p w:rsidR="00CE3900" w:rsidRPr="00D30C7B" w:rsidRDefault="00CE3900" w:rsidP="00B16DA5">
            <w:pPr>
              <w:spacing w:line="276" w:lineRule="auto"/>
              <w:rPr>
                <w:rFonts w:ascii="Calibri" w:hAnsi="Calibri" w:cs="Calibri"/>
                <w:b/>
                <w:bCs/>
                <w:iCs/>
                <w:sz w:val="20"/>
              </w:rPr>
            </w:pPr>
          </w:p>
        </w:tc>
        <w:tc>
          <w:tcPr>
            <w:tcW w:w="3515" w:type="dxa"/>
            <w:tcBorders>
              <w:right w:val="single" w:sz="4" w:space="0" w:color="auto"/>
            </w:tcBorders>
            <w:vAlign w:val="bottom"/>
          </w:tcPr>
          <w:p w:rsidR="00CE3900" w:rsidRPr="00D30C7B" w:rsidRDefault="00CE3900" w:rsidP="00B16DA5">
            <w:pPr>
              <w:spacing w:line="276" w:lineRule="auto"/>
              <w:ind w:left="708"/>
              <w:rPr>
                <w:rFonts w:ascii="Calibri" w:hAnsi="Calibri" w:cs="Calibri"/>
                <w:b/>
                <w:bCs/>
                <w:iCs/>
                <w:sz w:val="20"/>
              </w:rPr>
            </w:pPr>
            <w:r w:rsidRPr="00D30C7B">
              <w:rPr>
                <w:rFonts w:ascii="Calibri" w:hAnsi="Calibri" w:cs="Calibri"/>
                <w:b/>
                <w:bCs/>
                <w:iCs/>
                <w:sz w:val="20"/>
              </w:rPr>
              <w:t>Д.А. Мещеряков</w:t>
            </w:r>
          </w:p>
          <w:p w:rsidR="00CE3900" w:rsidRPr="00D30C7B" w:rsidRDefault="00CE3900" w:rsidP="00B16DA5">
            <w:pPr>
              <w:spacing w:line="276" w:lineRule="auto"/>
              <w:jc w:val="center"/>
              <w:rPr>
                <w:rFonts w:ascii="Calibri" w:hAnsi="Calibri" w:cs="Calibri"/>
                <w:b/>
                <w:bCs/>
                <w:iCs/>
                <w:sz w:val="20"/>
              </w:rPr>
            </w:pPr>
            <w:r w:rsidRPr="00D30C7B">
              <w:rPr>
                <w:rFonts w:ascii="Calibri" w:hAnsi="Calibri" w:cs="Calibri"/>
                <w:b/>
                <w:bCs/>
                <w:iCs/>
                <w:sz w:val="20"/>
              </w:rPr>
              <w:t>(по доверенности № 038/25-Д от 22.07.2025г.)</w:t>
            </w:r>
          </w:p>
        </w:tc>
      </w:tr>
      <w:tr w:rsidR="00CE3900" w:rsidRPr="0055568C" w:rsidTr="00CE39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83"/>
        </w:trPr>
        <w:tc>
          <w:tcPr>
            <w:tcW w:w="4423" w:type="dxa"/>
            <w:gridSpan w:val="7"/>
            <w:tcBorders>
              <w:left w:val="single" w:sz="4" w:space="0" w:color="auto"/>
              <w:bottom w:val="nil"/>
              <w:right w:val="nil"/>
            </w:tcBorders>
          </w:tcPr>
          <w:p w:rsidR="00CE3900" w:rsidRPr="0055568C" w:rsidRDefault="00CE3900" w:rsidP="00B16DA5">
            <w:pPr>
              <w:rPr>
                <w:rFonts w:ascii="Calibri" w:hAnsi="Calibri" w:cs="Calibri"/>
                <w:b/>
                <w:bCs/>
                <w:i/>
                <w:sz w:val="20"/>
              </w:rPr>
            </w:pPr>
          </w:p>
        </w:tc>
        <w:tc>
          <w:tcPr>
            <w:tcW w:w="1984" w:type="dxa"/>
            <w:tcBorders>
              <w:top w:val="nil"/>
              <w:left w:val="nil"/>
              <w:bottom w:val="nil"/>
              <w:right w:val="nil"/>
            </w:tcBorders>
          </w:tcPr>
          <w:p w:rsidR="00CE3900" w:rsidRPr="0055568C" w:rsidRDefault="00CE3900" w:rsidP="00B16DA5">
            <w:pPr>
              <w:jc w:val="center"/>
              <w:rPr>
                <w:rFonts w:ascii="Calibri" w:hAnsi="Calibri" w:cs="Calibri"/>
                <w:b/>
                <w:bCs/>
                <w:i/>
                <w:sz w:val="20"/>
              </w:rPr>
            </w:pPr>
            <w:r w:rsidRPr="0055568C">
              <w:rPr>
                <w:rFonts w:ascii="Calibri" w:hAnsi="Calibri" w:cs="Calibri"/>
                <w:b/>
                <w:bCs/>
                <w:i/>
                <w:sz w:val="20"/>
              </w:rPr>
              <w:t>(подпись)</w:t>
            </w:r>
          </w:p>
        </w:tc>
        <w:tc>
          <w:tcPr>
            <w:tcW w:w="851" w:type="dxa"/>
            <w:tcBorders>
              <w:top w:val="nil"/>
              <w:left w:val="nil"/>
              <w:bottom w:val="nil"/>
              <w:right w:val="nil"/>
            </w:tcBorders>
          </w:tcPr>
          <w:p w:rsidR="00CE3900" w:rsidRPr="0055568C" w:rsidRDefault="00CE3900" w:rsidP="00B16DA5">
            <w:pPr>
              <w:rPr>
                <w:rFonts w:ascii="Calibri" w:hAnsi="Calibri" w:cs="Calibri"/>
                <w:b/>
                <w:bCs/>
                <w:i/>
                <w:sz w:val="20"/>
              </w:rPr>
            </w:pPr>
          </w:p>
        </w:tc>
        <w:tc>
          <w:tcPr>
            <w:tcW w:w="3515" w:type="dxa"/>
            <w:tcBorders>
              <w:top w:val="nil"/>
              <w:left w:val="nil"/>
              <w:bottom w:val="nil"/>
              <w:right w:val="single" w:sz="4" w:space="0" w:color="auto"/>
            </w:tcBorders>
          </w:tcPr>
          <w:p w:rsidR="00CE3900" w:rsidRPr="0055568C" w:rsidRDefault="00CE3900" w:rsidP="00B16DA5">
            <w:pPr>
              <w:rPr>
                <w:rFonts w:ascii="Calibri" w:hAnsi="Calibri" w:cs="Calibri"/>
                <w:b/>
                <w:bCs/>
                <w:i/>
                <w:sz w:val="20"/>
              </w:rPr>
            </w:pPr>
          </w:p>
        </w:tc>
      </w:tr>
      <w:tr w:rsidR="00CE3900" w:rsidRPr="00E807D4" w:rsidTr="00CE39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23"/>
        </w:trPr>
        <w:tc>
          <w:tcPr>
            <w:tcW w:w="1230" w:type="dxa"/>
            <w:tcBorders>
              <w:top w:val="nil"/>
              <w:left w:val="single" w:sz="4" w:space="0" w:color="auto"/>
              <w:bottom w:val="nil"/>
              <w:right w:val="nil"/>
            </w:tcBorders>
            <w:vAlign w:val="bottom"/>
          </w:tcPr>
          <w:p w:rsidR="00CE3900" w:rsidRPr="0055568C" w:rsidRDefault="00CE3900" w:rsidP="00B16DA5">
            <w:pPr>
              <w:rPr>
                <w:rFonts w:ascii="Calibri" w:hAnsi="Calibri" w:cs="Calibri"/>
                <w:b/>
                <w:bCs/>
                <w:i/>
                <w:sz w:val="20"/>
              </w:rPr>
            </w:pPr>
            <w:r w:rsidRPr="0055568C">
              <w:rPr>
                <w:rFonts w:ascii="Calibri" w:hAnsi="Calibri" w:cs="Calibri"/>
                <w:b/>
                <w:bCs/>
                <w:i/>
                <w:sz w:val="20"/>
              </w:rPr>
              <w:t xml:space="preserve">3.2. </w:t>
            </w:r>
            <w:r w:rsidRPr="0055568C">
              <w:rPr>
                <w:rFonts w:ascii="Calibri" w:hAnsi="Calibri" w:cs="Calibri"/>
                <w:b/>
                <w:bCs/>
                <w:i/>
                <w:iCs/>
                <w:sz w:val="20"/>
              </w:rPr>
              <w:t>Дата “</w:t>
            </w:r>
          </w:p>
        </w:tc>
        <w:tc>
          <w:tcPr>
            <w:tcW w:w="448" w:type="dxa"/>
            <w:tcBorders>
              <w:top w:val="nil"/>
              <w:left w:val="nil"/>
              <w:bottom w:val="single" w:sz="4" w:space="0" w:color="auto"/>
              <w:right w:val="nil"/>
            </w:tcBorders>
            <w:vAlign w:val="bottom"/>
          </w:tcPr>
          <w:p w:rsidR="00CE3900" w:rsidRPr="00C64AE9" w:rsidRDefault="00CE3900" w:rsidP="00B16DA5">
            <w:pPr>
              <w:jc w:val="center"/>
              <w:rPr>
                <w:rFonts w:ascii="Calibri" w:hAnsi="Calibri" w:cs="Calibri"/>
                <w:b/>
                <w:bCs/>
                <w:i/>
                <w:iCs/>
                <w:sz w:val="20"/>
              </w:rPr>
            </w:pPr>
            <w:r>
              <w:rPr>
                <w:rFonts w:ascii="Calibri" w:hAnsi="Calibri" w:cs="Calibri"/>
                <w:b/>
                <w:bCs/>
                <w:i/>
                <w:iCs/>
                <w:sz w:val="20"/>
              </w:rPr>
              <w:t>13</w:t>
            </w:r>
          </w:p>
        </w:tc>
        <w:tc>
          <w:tcPr>
            <w:tcW w:w="293" w:type="dxa"/>
            <w:tcBorders>
              <w:top w:val="nil"/>
              <w:left w:val="nil"/>
              <w:bottom w:val="nil"/>
              <w:right w:val="nil"/>
            </w:tcBorders>
            <w:vAlign w:val="bottom"/>
          </w:tcPr>
          <w:p w:rsidR="00CE3900" w:rsidRPr="0055568C" w:rsidRDefault="00CE3900" w:rsidP="00B16DA5">
            <w:pPr>
              <w:rPr>
                <w:rFonts w:ascii="Calibri" w:hAnsi="Calibri" w:cs="Calibri"/>
                <w:b/>
                <w:bCs/>
                <w:i/>
                <w:iCs/>
                <w:sz w:val="20"/>
              </w:rPr>
            </w:pPr>
            <w:r w:rsidRPr="0055568C">
              <w:rPr>
                <w:rFonts w:ascii="Calibri" w:hAnsi="Calibri" w:cs="Calibri"/>
                <w:b/>
                <w:bCs/>
                <w:i/>
                <w:iCs/>
                <w:sz w:val="20"/>
              </w:rPr>
              <w:t>”</w:t>
            </w:r>
          </w:p>
        </w:tc>
        <w:tc>
          <w:tcPr>
            <w:tcW w:w="1318" w:type="dxa"/>
            <w:tcBorders>
              <w:top w:val="nil"/>
              <w:left w:val="nil"/>
              <w:bottom w:val="single" w:sz="4" w:space="0" w:color="auto"/>
              <w:right w:val="nil"/>
            </w:tcBorders>
            <w:vAlign w:val="bottom"/>
          </w:tcPr>
          <w:p w:rsidR="00CE3900" w:rsidRPr="0055568C" w:rsidRDefault="00CE3900" w:rsidP="00B16DA5">
            <w:pPr>
              <w:jc w:val="center"/>
              <w:rPr>
                <w:rFonts w:ascii="Calibri" w:hAnsi="Calibri" w:cs="Calibri"/>
                <w:b/>
                <w:bCs/>
                <w:i/>
                <w:iCs/>
                <w:sz w:val="20"/>
              </w:rPr>
            </w:pPr>
            <w:r>
              <w:rPr>
                <w:rFonts w:ascii="Calibri" w:hAnsi="Calibri" w:cs="Calibri"/>
                <w:b/>
                <w:bCs/>
                <w:i/>
                <w:iCs/>
                <w:sz w:val="20"/>
              </w:rPr>
              <w:t>мая</w:t>
            </w:r>
          </w:p>
        </w:tc>
        <w:tc>
          <w:tcPr>
            <w:tcW w:w="415" w:type="dxa"/>
            <w:tcBorders>
              <w:top w:val="nil"/>
              <w:left w:val="nil"/>
              <w:bottom w:val="nil"/>
              <w:right w:val="nil"/>
            </w:tcBorders>
            <w:vAlign w:val="bottom"/>
          </w:tcPr>
          <w:p w:rsidR="00CE3900" w:rsidRPr="0055568C" w:rsidRDefault="00CE3900" w:rsidP="00B16DA5">
            <w:pPr>
              <w:jc w:val="right"/>
              <w:rPr>
                <w:rFonts w:ascii="Calibri" w:hAnsi="Calibri" w:cs="Calibri"/>
                <w:b/>
                <w:bCs/>
                <w:i/>
                <w:iCs/>
                <w:sz w:val="20"/>
              </w:rPr>
            </w:pPr>
            <w:r w:rsidRPr="0055568C">
              <w:rPr>
                <w:rFonts w:ascii="Calibri" w:hAnsi="Calibri" w:cs="Calibri"/>
                <w:b/>
                <w:bCs/>
                <w:i/>
                <w:iCs/>
                <w:sz w:val="20"/>
              </w:rPr>
              <w:t xml:space="preserve">  20</w:t>
            </w:r>
          </w:p>
        </w:tc>
        <w:tc>
          <w:tcPr>
            <w:tcW w:w="307" w:type="dxa"/>
            <w:tcBorders>
              <w:top w:val="nil"/>
              <w:left w:val="nil"/>
              <w:bottom w:val="single" w:sz="4" w:space="0" w:color="auto"/>
              <w:right w:val="nil"/>
            </w:tcBorders>
            <w:vAlign w:val="bottom"/>
          </w:tcPr>
          <w:p w:rsidR="00CE3900" w:rsidRPr="001A652A" w:rsidRDefault="00CE3900" w:rsidP="00B16DA5">
            <w:pPr>
              <w:rPr>
                <w:rFonts w:ascii="Calibri" w:hAnsi="Calibri" w:cs="Calibri"/>
                <w:b/>
                <w:bCs/>
                <w:i/>
                <w:iCs/>
                <w:sz w:val="20"/>
              </w:rPr>
            </w:pPr>
            <w:r w:rsidRPr="00EE4AAC">
              <w:rPr>
                <w:rFonts w:ascii="Calibri" w:hAnsi="Calibri" w:cs="Calibri"/>
                <w:b/>
                <w:bCs/>
                <w:i/>
                <w:iCs/>
                <w:sz w:val="20"/>
              </w:rPr>
              <w:t>2</w:t>
            </w:r>
            <w:r>
              <w:rPr>
                <w:rFonts w:ascii="Calibri" w:hAnsi="Calibri" w:cs="Calibri"/>
                <w:b/>
                <w:bCs/>
                <w:i/>
                <w:iCs/>
                <w:sz w:val="20"/>
              </w:rPr>
              <w:t>6</w:t>
            </w:r>
          </w:p>
        </w:tc>
        <w:tc>
          <w:tcPr>
            <w:tcW w:w="412" w:type="dxa"/>
            <w:tcBorders>
              <w:top w:val="nil"/>
              <w:left w:val="nil"/>
              <w:bottom w:val="nil"/>
              <w:right w:val="nil"/>
            </w:tcBorders>
            <w:vAlign w:val="bottom"/>
          </w:tcPr>
          <w:p w:rsidR="00CE3900" w:rsidRPr="0055568C" w:rsidRDefault="00CE3900" w:rsidP="00B16DA5">
            <w:pPr>
              <w:rPr>
                <w:rFonts w:ascii="Calibri" w:hAnsi="Calibri" w:cs="Calibri"/>
                <w:b/>
                <w:bCs/>
                <w:i/>
                <w:iCs/>
                <w:sz w:val="20"/>
              </w:rPr>
            </w:pPr>
            <w:r w:rsidRPr="0055568C">
              <w:rPr>
                <w:rFonts w:ascii="Calibri" w:hAnsi="Calibri" w:cs="Calibri"/>
                <w:b/>
                <w:bCs/>
                <w:i/>
                <w:iCs/>
                <w:sz w:val="20"/>
              </w:rPr>
              <w:t>г.</w:t>
            </w:r>
          </w:p>
        </w:tc>
        <w:tc>
          <w:tcPr>
            <w:tcW w:w="1984" w:type="dxa"/>
            <w:tcBorders>
              <w:top w:val="nil"/>
              <w:left w:val="nil"/>
              <w:bottom w:val="nil"/>
              <w:right w:val="nil"/>
            </w:tcBorders>
            <w:vAlign w:val="bottom"/>
          </w:tcPr>
          <w:p w:rsidR="00CE3900" w:rsidRPr="00E807D4" w:rsidRDefault="00CE3900" w:rsidP="00B16DA5">
            <w:pPr>
              <w:jc w:val="center"/>
              <w:rPr>
                <w:rFonts w:ascii="Calibri" w:hAnsi="Calibri" w:cs="Calibri"/>
                <w:b/>
                <w:bCs/>
                <w:i/>
                <w:sz w:val="20"/>
              </w:rPr>
            </w:pPr>
            <w:r w:rsidRPr="0055568C">
              <w:rPr>
                <w:rFonts w:ascii="Calibri" w:hAnsi="Calibri" w:cs="Calibri"/>
                <w:b/>
                <w:bCs/>
                <w:i/>
                <w:sz w:val="20"/>
              </w:rPr>
              <w:t>М.П.</w:t>
            </w:r>
          </w:p>
        </w:tc>
        <w:tc>
          <w:tcPr>
            <w:tcW w:w="4366" w:type="dxa"/>
            <w:gridSpan w:val="2"/>
            <w:tcBorders>
              <w:top w:val="nil"/>
              <w:left w:val="nil"/>
              <w:bottom w:val="nil"/>
              <w:right w:val="single" w:sz="4" w:space="0" w:color="auto"/>
            </w:tcBorders>
            <w:vAlign w:val="bottom"/>
          </w:tcPr>
          <w:p w:rsidR="00CE3900" w:rsidRPr="00E807D4" w:rsidRDefault="00CE3900" w:rsidP="00B16DA5">
            <w:pPr>
              <w:rPr>
                <w:rFonts w:ascii="Calibri" w:hAnsi="Calibri" w:cs="Calibri"/>
                <w:b/>
                <w:bCs/>
                <w:i/>
                <w:sz w:val="20"/>
              </w:rPr>
            </w:pPr>
          </w:p>
        </w:tc>
      </w:tr>
      <w:tr w:rsidR="00CE3900" w:rsidRPr="00E807D4" w:rsidTr="00CE39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70"/>
        </w:trPr>
        <w:tc>
          <w:tcPr>
            <w:tcW w:w="4423" w:type="dxa"/>
            <w:gridSpan w:val="7"/>
            <w:tcBorders>
              <w:top w:val="nil"/>
              <w:left w:val="single" w:sz="4" w:space="0" w:color="auto"/>
              <w:bottom w:val="single" w:sz="4" w:space="0" w:color="auto"/>
              <w:right w:val="nil"/>
            </w:tcBorders>
          </w:tcPr>
          <w:p w:rsidR="00CE3900" w:rsidRPr="00E807D4" w:rsidRDefault="00CE3900" w:rsidP="00B16DA5">
            <w:pPr>
              <w:rPr>
                <w:rFonts w:ascii="Calibri" w:hAnsi="Calibri" w:cs="Calibri"/>
                <w:b/>
                <w:bCs/>
                <w:i/>
                <w:sz w:val="20"/>
              </w:rPr>
            </w:pPr>
          </w:p>
        </w:tc>
        <w:tc>
          <w:tcPr>
            <w:tcW w:w="1984" w:type="dxa"/>
            <w:tcBorders>
              <w:top w:val="nil"/>
              <w:left w:val="nil"/>
              <w:bottom w:val="single" w:sz="4" w:space="0" w:color="auto"/>
              <w:right w:val="nil"/>
            </w:tcBorders>
          </w:tcPr>
          <w:p w:rsidR="00CE3900" w:rsidRPr="00E807D4" w:rsidRDefault="00CE3900" w:rsidP="00B16DA5">
            <w:pPr>
              <w:jc w:val="center"/>
              <w:rPr>
                <w:rFonts w:ascii="Calibri" w:hAnsi="Calibri" w:cs="Calibri"/>
                <w:b/>
                <w:bCs/>
                <w:i/>
                <w:sz w:val="20"/>
              </w:rPr>
            </w:pPr>
          </w:p>
        </w:tc>
        <w:tc>
          <w:tcPr>
            <w:tcW w:w="4366" w:type="dxa"/>
            <w:gridSpan w:val="2"/>
            <w:tcBorders>
              <w:top w:val="nil"/>
              <w:left w:val="nil"/>
              <w:bottom w:val="single" w:sz="4" w:space="0" w:color="auto"/>
              <w:right w:val="single" w:sz="4" w:space="0" w:color="auto"/>
            </w:tcBorders>
          </w:tcPr>
          <w:p w:rsidR="00CE3900" w:rsidRPr="00E807D4" w:rsidRDefault="00CE3900" w:rsidP="00B16DA5">
            <w:pPr>
              <w:rPr>
                <w:rFonts w:ascii="Calibri" w:hAnsi="Calibri" w:cs="Calibri"/>
                <w:b/>
                <w:bCs/>
                <w:i/>
                <w:sz w:val="20"/>
              </w:rPr>
            </w:pPr>
          </w:p>
        </w:tc>
      </w:tr>
    </w:tbl>
    <w:p w:rsidR="00CE3900" w:rsidRPr="000B374C" w:rsidRDefault="00CE3900" w:rsidP="00CE3900">
      <w:pPr>
        <w:rPr>
          <w:b/>
          <w:bCs/>
          <w:i/>
          <w:iCs/>
          <w:sz w:val="20"/>
        </w:rPr>
      </w:pPr>
    </w:p>
    <w:p w:rsidR="00CE3900" w:rsidRDefault="00CE3900" w:rsidP="005C62BA">
      <w:pPr>
        <w:rPr>
          <w:szCs w:val="22"/>
        </w:rPr>
      </w:pPr>
    </w:p>
    <w:sectPr w:rsidR="00CE3900" w:rsidSect="0065154B">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397"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F7F" w:rsidRDefault="00BF4F7F" w:rsidP="00C712B4">
      <w:pPr/>
      <w:r>
        <w:separator/>
      </w:r>
    </w:p>
  </w:endnote>
  <w:endnote w:type="continuationSeparator" w:id="0">
    <w:p w:rsidR="00BF4F7F" w:rsidRDefault="00BF4F7F" w:rsidP="00C712B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91" w:rsidRDefault="00D268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91" w:rsidRDefault="00D268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91" w:rsidRDefault="00D268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F7F" w:rsidRDefault="00BF4F7F" w:rsidP="00C712B4">
      <w:pPr/>
      <w:r>
        <w:separator/>
      </w:r>
    </w:p>
  </w:footnote>
  <w:footnote w:type="continuationSeparator" w:id="0">
    <w:p w:rsidR="00BF4F7F" w:rsidRDefault="00BF4F7F" w:rsidP="00C712B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91" w:rsidRDefault="00D2689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91" w:rsidRDefault="00D2689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91" w:rsidRDefault="00D268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9B2"/>
    <w:multiLevelType w:val="hybridMultilevel"/>
    <w:tmpl w:val="5D482AFA"/>
    <w:lvl w:ilvl="0" w:tplc="6A780CC0">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D9D742B"/>
    <w:multiLevelType w:val="multilevel"/>
    <w:tmpl w:val="66205F56"/>
    <w:lvl w:ilvl="0">
      <w:start w:val="3"/>
      <w:numFmt w:val="decimal"/>
      <w:lvlText w:val="%1."/>
      <w:lvlJc w:val="left"/>
      <w:pPr>
        <w:tabs>
          <w:tab w:val="num" w:pos="450"/>
        </w:tabs>
        <w:ind w:left="450" w:hanging="450"/>
      </w:pPr>
      <w:rPr>
        <w:rFonts w:cs="Times New Roman"/>
      </w:rPr>
    </w:lvl>
    <w:lvl w:ilvl="1">
      <w:start w:val="1"/>
      <w:numFmt w:val="decimal"/>
      <w:lvlText w:val="%1.%2."/>
      <w:lvlJc w:val="left"/>
      <w:pPr>
        <w:tabs>
          <w:tab w:val="num" w:pos="507"/>
        </w:tabs>
        <w:ind w:left="507" w:hanging="450"/>
      </w:pPr>
      <w:rPr>
        <w:rFonts w:cs="Times New Roman"/>
        <w:b/>
      </w:rPr>
    </w:lvl>
    <w:lvl w:ilvl="2">
      <w:start w:val="1"/>
      <w:numFmt w:val="decimal"/>
      <w:lvlText w:val="%1.%2.%3."/>
      <w:lvlJc w:val="left"/>
      <w:pPr>
        <w:tabs>
          <w:tab w:val="num" w:pos="834"/>
        </w:tabs>
        <w:ind w:left="834" w:hanging="720"/>
      </w:pPr>
      <w:rPr>
        <w:rFonts w:cs="Times New Roman"/>
      </w:rPr>
    </w:lvl>
    <w:lvl w:ilvl="3">
      <w:start w:val="1"/>
      <w:numFmt w:val="decimal"/>
      <w:lvlText w:val="%1.%2.%3.%4."/>
      <w:lvlJc w:val="left"/>
      <w:pPr>
        <w:tabs>
          <w:tab w:val="num" w:pos="891"/>
        </w:tabs>
        <w:ind w:left="891" w:hanging="720"/>
      </w:pPr>
      <w:rPr>
        <w:rFonts w:cs="Times New Roman"/>
      </w:rPr>
    </w:lvl>
    <w:lvl w:ilvl="4">
      <w:start w:val="1"/>
      <w:numFmt w:val="decimal"/>
      <w:lvlText w:val="%1.%2.%3.%4.%5."/>
      <w:lvlJc w:val="left"/>
      <w:pPr>
        <w:tabs>
          <w:tab w:val="num" w:pos="1308"/>
        </w:tabs>
        <w:ind w:left="1308" w:hanging="1080"/>
      </w:pPr>
      <w:rPr>
        <w:rFonts w:cs="Times New Roman"/>
      </w:rPr>
    </w:lvl>
    <w:lvl w:ilvl="5">
      <w:start w:val="1"/>
      <w:numFmt w:val="decimal"/>
      <w:lvlText w:val="%1.%2.%3.%4.%5.%6."/>
      <w:lvlJc w:val="left"/>
      <w:pPr>
        <w:tabs>
          <w:tab w:val="num" w:pos="1365"/>
        </w:tabs>
        <w:ind w:left="1365" w:hanging="1080"/>
      </w:pPr>
      <w:rPr>
        <w:rFonts w:cs="Times New Roman"/>
      </w:rPr>
    </w:lvl>
    <w:lvl w:ilvl="6">
      <w:start w:val="1"/>
      <w:numFmt w:val="decimal"/>
      <w:lvlText w:val="%1.%2.%3.%4.%5.%6.%7."/>
      <w:lvlJc w:val="left"/>
      <w:pPr>
        <w:tabs>
          <w:tab w:val="num" w:pos="1422"/>
        </w:tabs>
        <w:ind w:left="1422" w:hanging="1080"/>
      </w:pPr>
      <w:rPr>
        <w:rFonts w:cs="Times New Roman"/>
      </w:rPr>
    </w:lvl>
    <w:lvl w:ilvl="7">
      <w:start w:val="1"/>
      <w:numFmt w:val="decimal"/>
      <w:lvlText w:val="%1.%2.%3.%4.%5.%6.%7.%8."/>
      <w:lvlJc w:val="left"/>
      <w:pPr>
        <w:tabs>
          <w:tab w:val="num" w:pos="1839"/>
        </w:tabs>
        <w:ind w:left="1839" w:hanging="1440"/>
      </w:pPr>
      <w:rPr>
        <w:rFonts w:cs="Times New Roman"/>
      </w:rPr>
    </w:lvl>
    <w:lvl w:ilvl="8">
      <w:start w:val="1"/>
      <w:numFmt w:val="decimal"/>
      <w:lvlText w:val="%1.%2.%3.%4.%5.%6.%7.%8.%9."/>
      <w:lvlJc w:val="left"/>
      <w:pPr>
        <w:tabs>
          <w:tab w:val="num" w:pos="1896"/>
        </w:tabs>
        <w:ind w:left="1896" w:hanging="1440"/>
      </w:pPr>
      <w:rPr>
        <w:rFonts w:cs="Times New Roman"/>
      </w:rPr>
    </w:lvl>
  </w:abstractNum>
  <w:abstractNum w:abstractNumId="2" w15:restartNumberingAfterBreak="0">
    <w:nsid w:val="425D3266"/>
    <w:multiLevelType w:val="hybridMultilevel"/>
    <w:tmpl w:val="CF7C42FC"/>
    <w:lvl w:ilvl="0" w:tplc="2AC66762">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BBE0D49"/>
    <w:multiLevelType w:val="hybridMultilevel"/>
    <w:tmpl w:val="CF28DB20"/>
    <w:lvl w:ilvl="0" w:tplc="04190001">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4" w15:restartNumberingAfterBreak="0">
    <w:nsid w:val="4BD60FAE"/>
    <w:multiLevelType w:val="hybridMultilevel"/>
    <w:tmpl w:val="6FA44CEC"/>
    <w:lvl w:ilvl="0" w:tplc="3252EF7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D4"/>
    <w:rsid w:val="00006742"/>
    <w:rsid w:val="00006771"/>
    <w:rsid w:val="00012172"/>
    <w:rsid w:val="00022A37"/>
    <w:rsid w:val="00030627"/>
    <w:rsid w:val="00032813"/>
    <w:rsid w:val="00035E04"/>
    <w:rsid w:val="000369C4"/>
    <w:rsid w:val="000545CA"/>
    <w:rsid w:val="00057E6C"/>
    <w:rsid w:val="0006088A"/>
    <w:rsid w:val="00076A16"/>
    <w:rsid w:val="0007756F"/>
    <w:rsid w:val="0008146B"/>
    <w:rsid w:val="00084E2A"/>
    <w:rsid w:val="000854B9"/>
    <w:rsid w:val="00087B2C"/>
    <w:rsid w:val="00092A39"/>
    <w:rsid w:val="0009340F"/>
    <w:rsid w:val="000970F6"/>
    <w:rsid w:val="000976FB"/>
    <w:rsid w:val="000A36AE"/>
    <w:rsid w:val="000A3A06"/>
    <w:rsid w:val="000A67D0"/>
    <w:rsid w:val="000A6D42"/>
    <w:rsid w:val="000C38E5"/>
    <w:rsid w:val="000E5933"/>
    <w:rsid w:val="000F2625"/>
    <w:rsid w:val="000F5680"/>
    <w:rsid w:val="000F6C42"/>
    <w:rsid w:val="001003A1"/>
    <w:rsid w:val="001059F0"/>
    <w:rsid w:val="00115CF7"/>
    <w:rsid w:val="001167CA"/>
    <w:rsid w:val="0011690C"/>
    <w:rsid w:val="00120F83"/>
    <w:rsid w:val="00123FC0"/>
    <w:rsid w:val="00124B47"/>
    <w:rsid w:val="001307C8"/>
    <w:rsid w:val="00142D12"/>
    <w:rsid w:val="00151D4F"/>
    <w:rsid w:val="00160245"/>
    <w:rsid w:val="00160506"/>
    <w:rsid w:val="00164565"/>
    <w:rsid w:val="00164D02"/>
    <w:rsid w:val="00166C03"/>
    <w:rsid w:val="0017458A"/>
    <w:rsid w:val="00176329"/>
    <w:rsid w:val="00196C7C"/>
    <w:rsid w:val="00196EAC"/>
    <w:rsid w:val="00196F7F"/>
    <w:rsid w:val="001A3644"/>
    <w:rsid w:val="001A5A4C"/>
    <w:rsid w:val="001B28D6"/>
    <w:rsid w:val="001C50E3"/>
    <w:rsid w:val="001D46BD"/>
    <w:rsid w:val="001E425A"/>
    <w:rsid w:val="002078FB"/>
    <w:rsid w:val="002103B9"/>
    <w:rsid w:val="00226524"/>
    <w:rsid w:val="002273BA"/>
    <w:rsid w:val="00233581"/>
    <w:rsid w:val="00246C35"/>
    <w:rsid w:val="00247DFB"/>
    <w:rsid w:val="002551AF"/>
    <w:rsid w:val="00255C54"/>
    <w:rsid w:val="002727DE"/>
    <w:rsid w:val="00274511"/>
    <w:rsid w:val="00274AB0"/>
    <w:rsid w:val="002829AC"/>
    <w:rsid w:val="0028660C"/>
    <w:rsid w:val="00287E17"/>
    <w:rsid w:val="00292002"/>
    <w:rsid w:val="00295227"/>
    <w:rsid w:val="002A11C8"/>
    <w:rsid w:val="002A1708"/>
    <w:rsid w:val="002A4EFD"/>
    <w:rsid w:val="002B1B70"/>
    <w:rsid w:val="002B430D"/>
    <w:rsid w:val="002C5EC6"/>
    <w:rsid w:val="002C66AF"/>
    <w:rsid w:val="002C6846"/>
    <w:rsid w:val="002D05D1"/>
    <w:rsid w:val="002D1A09"/>
    <w:rsid w:val="002D1C71"/>
    <w:rsid w:val="002E12CB"/>
    <w:rsid w:val="002E1C60"/>
    <w:rsid w:val="002F09FB"/>
    <w:rsid w:val="002F4E28"/>
    <w:rsid w:val="002F5AF9"/>
    <w:rsid w:val="002F713F"/>
    <w:rsid w:val="0031576D"/>
    <w:rsid w:val="00317345"/>
    <w:rsid w:val="00337F83"/>
    <w:rsid w:val="00347F1F"/>
    <w:rsid w:val="003735FE"/>
    <w:rsid w:val="0038371A"/>
    <w:rsid w:val="00384CA9"/>
    <w:rsid w:val="00390E07"/>
    <w:rsid w:val="00395188"/>
    <w:rsid w:val="003A5629"/>
    <w:rsid w:val="003B39E9"/>
    <w:rsid w:val="003C1A87"/>
    <w:rsid w:val="003C3E2C"/>
    <w:rsid w:val="003D0336"/>
    <w:rsid w:val="003D0376"/>
    <w:rsid w:val="003D52BD"/>
    <w:rsid w:val="003D5C3E"/>
    <w:rsid w:val="003E28B5"/>
    <w:rsid w:val="003E4426"/>
    <w:rsid w:val="003E451F"/>
    <w:rsid w:val="003E55DF"/>
    <w:rsid w:val="004019EC"/>
    <w:rsid w:val="00421BBD"/>
    <w:rsid w:val="00423F66"/>
    <w:rsid w:val="0042404B"/>
    <w:rsid w:val="00426F88"/>
    <w:rsid w:val="00432491"/>
    <w:rsid w:val="00432772"/>
    <w:rsid w:val="00433B18"/>
    <w:rsid w:val="00435EE0"/>
    <w:rsid w:val="00436877"/>
    <w:rsid w:val="00440F05"/>
    <w:rsid w:val="004422B5"/>
    <w:rsid w:val="00446E07"/>
    <w:rsid w:val="00466545"/>
    <w:rsid w:val="004668A0"/>
    <w:rsid w:val="00473FA3"/>
    <w:rsid w:val="004909A4"/>
    <w:rsid w:val="00493500"/>
    <w:rsid w:val="00493692"/>
    <w:rsid w:val="004943FD"/>
    <w:rsid w:val="00496FF5"/>
    <w:rsid w:val="004A2E0B"/>
    <w:rsid w:val="004A62DB"/>
    <w:rsid w:val="004B01FF"/>
    <w:rsid w:val="004B52C5"/>
    <w:rsid w:val="004B6107"/>
    <w:rsid w:val="004C5E5E"/>
    <w:rsid w:val="004D18DC"/>
    <w:rsid w:val="004D662E"/>
    <w:rsid w:val="004D71A4"/>
    <w:rsid w:val="004E1A86"/>
    <w:rsid w:val="004E1F7D"/>
    <w:rsid w:val="004E2A5F"/>
    <w:rsid w:val="004E2F4F"/>
    <w:rsid w:val="004E472C"/>
    <w:rsid w:val="004E6294"/>
    <w:rsid w:val="00505E8F"/>
    <w:rsid w:val="0052617A"/>
    <w:rsid w:val="00534293"/>
    <w:rsid w:val="0053469D"/>
    <w:rsid w:val="00535390"/>
    <w:rsid w:val="00536736"/>
    <w:rsid w:val="005373B0"/>
    <w:rsid w:val="00537B0F"/>
    <w:rsid w:val="00541F9D"/>
    <w:rsid w:val="005430CF"/>
    <w:rsid w:val="005463DA"/>
    <w:rsid w:val="00553AFD"/>
    <w:rsid w:val="005653BF"/>
    <w:rsid w:val="005666A1"/>
    <w:rsid w:val="0058341B"/>
    <w:rsid w:val="00592E46"/>
    <w:rsid w:val="005A0A93"/>
    <w:rsid w:val="005A3A6C"/>
    <w:rsid w:val="005C62BA"/>
    <w:rsid w:val="005C6CCE"/>
    <w:rsid w:val="005D7B97"/>
    <w:rsid w:val="005E00D0"/>
    <w:rsid w:val="005E2C1A"/>
    <w:rsid w:val="005F243D"/>
    <w:rsid w:val="005F4E77"/>
    <w:rsid w:val="00603197"/>
    <w:rsid w:val="00607C43"/>
    <w:rsid w:val="00613E62"/>
    <w:rsid w:val="006141C5"/>
    <w:rsid w:val="00616CC5"/>
    <w:rsid w:val="0062107B"/>
    <w:rsid w:val="006227EB"/>
    <w:rsid w:val="0063545B"/>
    <w:rsid w:val="00636427"/>
    <w:rsid w:val="0065154B"/>
    <w:rsid w:val="00651651"/>
    <w:rsid w:val="00653AD3"/>
    <w:rsid w:val="0066072B"/>
    <w:rsid w:val="00665F33"/>
    <w:rsid w:val="0068316C"/>
    <w:rsid w:val="00691860"/>
    <w:rsid w:val="006941D1"/>
    <w:rsid w:val="006A0BC9"/>
    <w:rsid w:val="006A3EB9"/>
    <w:rsid w:val="006A6E27"/>
    <w:rsid w:val="006B62C3"/>
    <w:rsid w:val="006C3F3E"/>
    <w:rsid w:val="006D3C92"/>
    <w:rsid w:val="006E7EA2"/>
    <w:rsid w:val="006F1A2F"/>
    <w:rsid w:val="007056BD"/>
    <w:rsid w:val="007057B0"/>
    <w:rsid w:val="00707428"/>
    <w:rsid w:val="00726DC7"/>
    <w:rsid w:val="0073344E"/>
    <w:rsid w:val="007362A3"/>
    <w:rsid w:val="00741C90"/>
    <w:rsid w:val="0074750E"/>
    <w:rsid w:val="007544B5"/>
    <w:rsid w:val="00766A23"/>
    <w:rsid w:val="0077285E"/>
    <w:rsid w:val="007744E8"/>
    <w:rsid w:val="0078616A"/>
    <w:rsid w:val="00786D0E"/>
    <w:rsid w:val="00787EC5"/>
    <w:rsid w:val="00790AD6"/>
    <w:rsid w:val="00791888"/>
    <w:rsid w:val="00793489"/>
    <w:rsid w:val="007A378D"/>
    <w:rsid w:val="007A3E11"/>
    <w:rsid w:val="007A7435"/>
    <w:rsid w:val="007B3AA5"/>
    <w:rsid w:val="007C02CD"/>
    <w:rsid w:val="007C0C99"/>
    <w:rsid w:val="007C146F"/>
    <w:rsid w:val="007C1DCA"/>
    <w:rsid w:val="007C4F67"/>
    <w:rsid w:val="007D1A55"/>
    <w:rsid w:val="007D1C6D"/>
    <w:rsid w:val="007D3A9B"/>
    <w:rsid w:val="007E5ED7"/>
    <w:rsid w:val="007F0E90"/>
    <w:rsid w:val="007F2E36"/>
    <w:rsid w:val="007F5616"/>
    <w:rsid w:val="00805855"/>
    <w:rsid w:val="00807368"/>
    <w:rsid w:val="00811232"/>
    <w:rsid w:val="00813A2A"/>
    <w:rsid w:val="00820DF3"/>
    <w:rsid w:val="00824772"/>
    <w:rsid w:val="00833E05"/>
    <w:rsid w:val="00840A13"/>
    <w:rsid w:val="00843787"/>
    <w:rsid w:val="008502B6"/>
    <w:rsid w:val="00851511"/>
    <w:rsid w:val="008568D0"/>
    <w:rsid w:val="00861C0E"/>
    <w:rsid w:val="00864E68"/>
    <w:rsid w:val="00865134"/>
    <w:rsid w:val="00871C29"/>
    <w:rsid w:val="008767DD"/>
    <w:rsid w:val="00884DA7"/>
    <w:rsid w:val="008866CE"/>
    <w:rsid w:val="00894829"/>
    <w:rsid w:val="008A0B3A"/>
    <w:rsid w:val="008B2021"/>
    <w:rsid w:val="008B7140"/>
    <w:rsid w:val="008C5F04"/>
    <w:rsid w:val="008D0077"/>
    <w:rsid w:val="008D38CF"/>
    <w:rsid w:val="008D5286"/>
    <w:rsid w:val="008E750C"/>
    <w:rsid w:val="008F1B0A"/>
    <w:rsid w:val="00904261"/>
    <w:rsid w:val="009059BA"/>
    <w:rsid w:val="009061EF"/>
    <w:rsid w:val="009110F3"/>
    <w:rsid w:val="009129CA"/>
    <w:rsid w:val="00926079"/>
    <w:rsid w:val="00930F5A"/>
    <w:rsid w:val="0094073D"/>
    <w:rsid w:val="009510CF"/>
    <w:rsid w:val="009552A4"/>
    <w:rsid w:val="00957112"/>
    <w:rsid w:val="009612F6"/>
    <w:rsid w:val="00965105"/>
    <w:rsid w:val="00976213"/>
    <w:rsid w:val="0098197A"/>
    <w:rsid w:val="00992839"/>
    <w:rsid w:val="0099481E"/>
    <w:rsid w:val="009C4112"/>
    <w:rsid w:val="009D2D28"/>
    <w:rsid w:val="009F3792"/>
    <w:rsid w:val="00A029BE"/>
    <w:rsid w:val="00A0398E"/>
    <w:rsid w:val="00A206E1"/>
    <w:rsid w:val="00A3394D"/>
    <w:rsid w:val="00A36C2B"/>
    <w:rsid w:val="00A41B7C"/>
    <w:rsid w:val="00A5433C"/>
    <w:rsid w:val="00A56000"/>
    <w:rsid w:val="00A56DE4"/>
    <w:rsid w:val="00A7088D"/>
    <w:rsid w:val="00A73DEE"/>
    <w:rsid w:val="00A83D9D"/>
    <w:rsid w:val="00A85C71"/>
    <w:rsid w:val="00A872D0"/>
    <w:rsid w:val="00A91576"/>
    <w:rsid w:val="00A937F3"/>
    <w:rsid w:val="00A96CDE"/>
    <w:rsid w:val="00AA5759"/>
    <w:rsid w:val="00AA576A"/>
    <w:rsid w:val="00AA666A"/>
    <w:rsid w:val="00AB18B9"/>
    <w:rsid w:val="00AB3372"/>
    <w:rsid w:val="00AB5F06"/>
    <w:rsid w:val="00AB6444"/>
    <w:rsid w:val="00AD5E59"/>
    <w:rsid w:val="00AF02A5"/>
    <w:rsid w:val="00AF0A32"/>
    <w:rsid w:val="00AF2D8A"/>
    <w:rsid w:val="00AF79F1"/>
    <w:rsid w:val="00B00A18"/>
    <w:rsid w:val="00B03BCD"/>
    <w:rsid w:val="00B103C3"/>
    <w:rsid w:val="00B112F8"/>
    <w:rsid w:val="00B16DA5"/>
    <w:rsid w:val="00B3041D"/>
    <w:rsid w:val="00B3107A"/>
    <w:rsid w:val="00B33F5A"/>
    <w:rsid w:val="00B44BA7"/>
    <w:rsid w:val="00B601E7"/>
    <w:rsid w:val="00B64EFF"/>
    <w:rsid w:val="00B8406F"/>
    <w:rsid w:val="00BA33BD"/>
    <w:rsid w:val="00BA6038"/>
    <w:rsid w:val="00BB3279"/>
    <w:rsid w:val="00BB34DD"/>
    <w:rsid w:val="00BC0259"/>
    <w:rsid w:val="00BC6211"/>
    <w:rsid w:val="00BD0DEA"/>
    <w:rsid w:val="00BE06F5"/>
    <w:rsid w:val="00BE5005"/>
    <w:rsid w:val="00BE7D8F"/>
    <w:rsid w:val="00BF4F7F"/>
    <w:rsid w:val="00BF64A1"/>
    <w:rsid w:val="00C00D9D"/>
    <w:rsid w:val="00C03BD7"/>
    <w:rsid w:val="00C050D7"/>
    <w:rsid w:val="00C13139"/>
    <w:rsid w:val="00C15ADE"/>
    <w:rsid w:val="00C24C49"/>
    <w:rsid w:val="00C43EDD"/>
    <w:rsid w:val="00C4404A"/>
    <w:rsid w:val="00C465D9"/>
    <w:rsid w:val="00C548AD"/>
    <w:rsid w:val="00C56B1C"/>
    <w:rsid w:val="00C61B80"/>
    <w:rsid w:val="00C656E2"/>
    <w:rsid w:val="00C67311"/>
    <w:rsid w:val="00C712B4"/>
    <w:rsid w:val="00C807C4"/>
    <w:rsid w:val="00C827D3"/>
    <w:rsid w:val="00C8355F"/>
    <w:rsid w:val="00C84B07"/>
    <w:rsid w:val="00C90906"/>
    <w:rsid w:val="00CA08A6"/>
    <w:rsid w:val="00CA4919"/>
    <w:rsid w:val="00CA68BA"/>
    <w:rsid w:val="00CB0244"/>
    <w:rsid w:val="00CB2E61"/>
    <w:rsid w:val="00CB43F9"/>
    <w:rsid w:val="00CB56D8"/>
    <w:rsid w:val="00CB72CD"/>
    <w:rsid w:val="00CC252D"/>
    <w:rsid w:val="00CC46C7"/>
    <w:rsid w:val="00CE0863"/>
    <w:rsid w:val="00CE1746"/>
    <w:rsid w:val="00CE26EA"/>
    <w:rsid w:val="00CE3900"/>
    <w:rsid w:val="00CE40D1"/>
    <w:rsid w:val="00CE5F61"/>
    <w:rsid w:val="00CF42B3"/>
    <w:rsid w:val="00D11E9D"/>
    <w:rsid w:val="00D20773"/>
    <w:rsid w:val="00D26891"/>
    <w:rsid w:val="00D26F4B"/>
    <w:rsid w:val="00D50681"/>
    <w:rsid w:val="00D55702"/>
    <w:rsid w:val="00D57B62"/>
    <w:rsid w:val="00D60BCA"/>
    <w:rsid w:val="00D647DC"/>
    <w:rsid w:val="00D67141"/>
    <w:rsid w:val="00D740A6"/>
    <w:rsid w:val="00D80795"/>
    <w:rsid w:val="00D81063"/>
    <w:rsid w:val="00D814C4"/>
    <w:rsid w:val="00D82584"/>
    <w:rsid w:val="00D82659"/>
    <w:rsid w:val="00DA3F14"/>
    <w:rsid w:val="00DB2473"/>
    <w:rsid w:val="00DB3377"/>
    <w:rsid w:val="00DB3D8F"/>
    <w:rsid w:val="00DB5ED5"/>
    <w:rsid w:val="00DC0CD1"/>
    <w:rsid w:val="00DC3A3E"/>
    <w:rsid w:val="00DD45EC"/>
    <w:rsid w:val="00DE01D3"/>
    <w:rsid w:val="00DE04DB"/>
    <w:rsid w:val="00DE7DB3"/>
    <w:rsid w:val="00DF0179"/>
    <w:rsid w:val="00DF5FD4"/>
    <w:rsid w:val="00E0099B"/>
    <w:rsid w:val="00E02D24"/>
    <w:rsid w:val="00E15DC4"/>
    <w:rsid w:val="00E20C91"/>
    <w:rsid w:val="00E213E2"/>
    <w:rsid w:val="00E23C61"/>
    <w:rsid w:val="00E27FFD"/>
    <w:rsid w:val="00E31D9B"/>
    <w:rsid w:val="00E32854"/>
    <w:rsid w:val="00E379CC"/>
    <w:rsid w:val="00E436D8"/>
    <w:rsid w:val="00E460A1"/>
    <w:rsid w:val="00E52DA2"/>
    <w:rsid w:val="00E5638C"/>
    <w:rsid w:val="00E62543"/>
    <w:rsid w:val="00E64CE2"/>
    <w:rsid w:val="00E65188"/>
    <w:rsid w:val="00E6781E"/>
    <w:rsid w:val="00E70A12"/>
    <w:rsid w:val="00E73632"/>
    <w:rsid w:val="00E739C4"/>
    <w:rsid w:val="00E77DFB"/>
    <w:rsid w:val="00E87656"/>
    <w:rsid w:val="00E9124A"/>
    <w:rsid w:val="00E91871"/>
    <w:rsid w:val="00E9304C"/>
    <w:rsid w:val="00E93C8F"/>
    <w:rsid w:val="00EA7C80"/>
    <w:rsid w:val="00EB39ED"/>
    <w:rsid w:val="00EC67AF"/>
    <w:rsid w:val="00ED336C"/>
    <w:rsid w:val="00ED4CF9"/>
    <w:rsid w:val="00ED5C48"/>
    <w:rsid w:val="00EE4591"/>
    <w:rsid w:val="00EF015F"/>
    <w:rsid w:val="00EF258A"/>
    <w:rsid w:val="00F017A6"/>
    <w:rsid w:val="00F0278C"/>
    <w:rsid w:val="00F03E7B"/>
    <w:rsid w:val="00F0671C"/>
    <w:rsid w:val="00F1169E"/>
    <w:rsid w:val="00F258AF"/>
    <w:rsid w:val="00F35D6A"/>
    <w:rsid w:val="00F50D4D"/>
    <w:rsid w:val="00F5209F"/>
    <w:rsid w:val="00F523C9"/>
    <w:rsid w:val="00F526B3"/>
    <w:rsid w:val="00F609D8"/>
    <w:rsid w:val="00F658B4"/>
    <w:rsid w:val="00F80BAA"/>
    <w:rsid w:val="00F80E19"/>
    <w:rsid w:val="00F828BC"/>
    <w:rsid w:val="00F82DF0"/>
    <w:rsid w:val="00F91407"/>
    <w:rsid w:val="00F92D73"/>
    <w:rsid w:val="00FA0805"/>
    <w:rsid w:val="00FA21F1"/>
    <w:rsid w:val="00FB2522"/>
    <w:rsid w:val="00FB4DFB"/>
    <w:rsid w:val="00FB7363"/>
    <w:rsid w:val="00FC112B"/>
    <w:rsid w:val="00FC715B"/>
    <w:rsid w:val="00FD10BF"/>
    <w:rsid w:val="00FD1127"/>
    <w:rsid w:val="00FD2D8A"/>
    <w:rsid w:val="00FD2EB8"/>
    <w:rsid w:val="00FE1606"/>
    <w:rsid w:val="00FF3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803CFC-5B52-4AFA-B2D6-ACFB7F3E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12F6"/>
    <w:pPr>
      <w:autoSpaceDE w:val="0"/>
      <w:autoSpaceDN w:val="0"/>
      <w:spacing w:before="60" w:after="60"/>
      <w:jc w:val="both"/>
    </w:pPr>
    <w:rPr>
      <w:sz w:val="22"/>
      <w:lang w:eastAsia="ko-KR"/>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B2522"/>
    <w:pPr>
      <w:autoSpaceDE/>
      <w:autoSpaceDN/>
    </w:pPr>
    <w:rPr>
      <w:rFonts w:ascii="Tahoma" w:hAnsi="Tahoma" w:cs="Tahoma"/>
      <w:sz w:val="16"/>
      <w:szCs w:val="16"/>
    </w:rPr>
  </w:style>
  <w:style w:type="paragraph" w:customStyle="1" w:styleId="ConsNormal">
    <w:name w:val="ConsNormal"/>
    <w:link w:val="ConsNormalChar"/>
    <w:pPr>
      <w:autoSpaceDE w:val="0"/>
      <w:autoSpaceDN w:val="0"/>
      <w:ind w:right="19771" w:firstLine="539"/>
      <w:jc w:val="both"/>
    </w:pPr>
    <w:rPr>
      <w:rFonts w:ascii="Courier New" w:hAnsi="Courier New" w:cs="Courier New"/>
      <w:lang w:val="en-US" w:eastAsia="ko-KR"/>
    </w:rPr>
  </w:style>
  <w:style w:type="paragraph" w:customStyle="1" w:styleId="ConsNonformat">
    <w:name w:val="ConsNonformat"/>
    <w:pPr>
      <w:widowControl w:val="0"/>
      <w:autoSpaceDE w:val="0"/>
      <w:autoSpaceDN w:val="0"/>
      <w:jc w:val="both"/>
    </w:pPr>
    <w:rPr>
      <w:rFonts w:ascii="Courier New" w:hAnsi="Courier New" w:cs="Courier New"/>
      <w:lang w:eastAsia="ko-KR"/>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customStyle="1" w:styleId="Style12ptBoldItalic">
    <w:name w:val="Style 12 pt Bold Italic"/>
    <w:uiPriority w:val="99"/>
    <w:rsid w:val="00DF5FD4"/>
    <w:rPr>
      <w:rFonts w:ascii="Times New Roman" w:hAnsi="Times New Roman"/>
      <w:b/>
      <w:bCs/>
      <w:i/>
      <w:iCs/>
      <w:sz w:val="22"/>
    </w:rPr>
  </w:style>
  <w:style w:type="character" w:customStyle="1" w:styleId="StyleBoldItalic">
    <w:name w:val="Style Bold Italic"/>
    <w:rsid w:val="00DF5FD4"/>
    <w:rPr>
      <w:rFonts w:ascii="Times New Roman" w:hAnsi="Times New Roman"/>
      <w:b/>
      <w:bCs/>
      <w:i/>
      <w:iCs/>
      <w:sz w:val="22"/>
    </w:rPr>
  </w:style>
  <w:style w:type="character" w:customStyle="1" w:styleId="SUBST">
    <w:name w:val="__SUBST"/>
    <w:rsid w:val="00DF5FD4"/>
    <w:rPr>
      <w:b/>
      <w:i/>
      <w:sz w:val="22"/>
    </w:rPr>
  </w:style>
  <w:style w:type="paragraph" w:customStyle="1" w:styleId="Style12ptJustifiedLeft015cmRight015cm">
    <w:name w:val="Style 12 pt Justified Left:  015 cm Right:  015 cm"/>
    <w:basedOn w:val="a"/>
    <w:rsid w:val="004909A4"/>
    <w:pPr>
      <w:ind w:left="85" w:right="85"/>
    </w:pPr>
    <w:rPr>
      <w:rFonts w:eastAsia="Times New Roman"/>
      <w:lang w:eastAsia="ru-RU"/>
    </w:rPr>
  </w:style>
  <w:style w:type="character" w:customStyle="1" w:styleId="Subst0">
    <w:name w:val="Subst"/>
    <w:rsid w:val="004909A4"/>
    <w:rPr>
      <w:b/>
      <w:i/>
    </w:rPr>
  </w:style>
  <w:style w:type="character" w:customStyle="1" w:styleId="h1header">
    <w:name w:val="h1header"/>
    <w:rsid w:val="00C807C4"/>
    <w:rPr>
      <w:rFonts w:cs="Times New Roman"/>
    </w:rPr>
  </w:style>
  <w:style w:type="paragraph" w:styleId="2">
    <w:name w:val="Body Text Indent 2"/>
    <w:basedOn w:val="a"/>
    <w:link w:val="20"/>
    <w:rsid w:val="00884DA7"/>
    <w:pPr>
      <w:ind w:firstLine="540"/>
    </w:pPr>
    <w:rPr>
      <w:rFonts w:eastAsia="Times New Roman"/>
      <w:sz w:val="20"/>
      <w:lang w:eastAsia="en-US"/>
    </w:rPr>
  </w:style>
  <w:style w:type="character" w:customStyle="1" w:styleId="20">
    <w:name w:val="Основной текст с отступом 2 Знак"/>
    <w:link w:val="2"/>
    <w:semiHidden/>
    <w:locked/>
    <w:rsid w:val="00884DA7"/>
    <w:rPr>
      <w:lang w:val="ru-RU" w:eastAsia="en-US" w:bidi="ar-SA"/>
    </w:rPr>
  </w:style>
  <w:style w:type="character" w:customStyle="1" w:styleId="ConsNormalChar">
    <w:name w:val="ConsNormal Char"/>
    <w:link w:val="ConsNormal"/>
    <w:locked/>
    <w:rsid w:val="00884DA7"/>
    <w:rPr>
      <w:rFonts w:ascii="Courier New" w:eastAsia="Batang" w:hAnsi="Courier New" w:cs="Courier New"/>
      <w:lang w:val="en-US" w:eastAsia="ko-KR" w:bidi="ar-SA"/>
    </w:rPr>
  </w:style>
  <w:style w:type="character" w:styleId="a6">
    <w:name w:val="Hyperlink"/>
    <w:uiPriority w:val="99"/>
    <w:rsid w:val="004019EC"/>
    <w:rPr>
      <w:color w:val="0000FF"/>
      <w:u w:val="single"/>
    </w:rPr>
  </w:style>
  <w:style w:type="paragraph" w:styleId="a7">
    <w:name w:val="Normal (Web)"/>
    <w:basedOn w:val="a"/>
    <w:uiPriority w:val="99"/>
    <w:unhideWhenUsed/>
    <w:rsid w:val="005373B0"/>
    <w:pPr>
      <w:autoSpaceDE/>
      <w:autoSpaceDN/>
      <w:spacing w:before="100" w:beforeAutospacing="1" w:after="100" w:afterAutospacing="1"/>
    </w:pPr>
    <w:rPr>
      <w:rFonts w:eastAsia="Times New Roman"/>
      <w:sz w:val="24"/>
      <w:szCs w:val="24"/>
      <w:lang w:eastAsia="ru-RU"/>
    </w:rPr>
  </w:style>
  <w:style w:type="character" w:styleId="a8">
    <w:name w:val="Emphasis"/>
    <w:uiPriority w:val="20"/>
    <w:qFormat/>
    <w:rsid w:val="005373B0"/>
    <w:rPr>
      <w:i/>
      <w:iCs/>
    </w:rPr>
  </w:style>
  <w:style w:type="character" w:styleId="a9">
    <w:name w:val="annotation reference"/>
    <w:uiPriority w:val="99"/>
    <w:rsid w:val="00E460A1"/>
    <w:rPr>
      <w:rFonts w:cs="Times New Roman"/>
      <w:sz w:val="16"/>
    </w:rPr>
  </w:style>
  <w:style w:type="paragraph" w:styleId="aa">
    <w:name w:val="annotation text"/>
    <w:basedOn w:val="a"/>
    <w:link w:val="ab"/>
    <w:uiPriority w:val="99"/>
    <w:rsid w:val="00E460A1"/>
    <w:pPr>
      <w:autoSpaceDE/>
      <w:autoSpaceDN/>
      <w:spacing w:after="40"/>
    </w:pPr>
    <w:rPr>
      <w:rFonts w:eastAsia="Times New Roman"/>
      <w:sz w:val="20"/>
      <w:lang w:eastAsia="ru-RU"/>
    </w:rPr>
  </w:style>
  <w:style w:type="character" w:customStyle="1" w:styleId="ab">
    <w:name w:val="Текст примечания Знак"/>
    <w:link w:val="aa"/>
    <w:uiPriority w:val="99"/>
    <w:rsid w:val="00E460A1"/>
    <w:rPr>
      <w:rFonts w:eastAsia="Times New Roman"/>
    </w:rPr>
  </w:style>
  <w:style w:type="paragraph" w:customStyle="1" w:styleId="ListParagraph1">
    <w:name w:val="List Paragraph1"/>
    <w:basedOn w:val="a"/>
    <w:uiPriority w:val="99"/>
    <w:qFormat/>
    <w:rsid w:val="00E460A1"/>
    <w:pPr>
      <w:autoSpaceDE/>
      <w:autoSpaceDN/>
      <w:spacing w:after="40"/>
      <w:ind w:left="720"/>
      <w:contextualSpacing/>
    </w:pPr>
    <w:rPr>
      <w:rFonts w:eastAsia="Times New Roman"/>
      <w:lang w:eastAsia="ru-RU"/>
    </w:rPr>
  </w:style>
  <w:style w:type="paragraph" w:styleId="ac">
    <w:name w:val="annotation subject"/>
    <w:basedOn w:val="aa"/>
    <w:next w:val="aa"/>
    <w:semiHidden/>
    <w:rsid w:val="006A3EB9"/>
    <w:pPr>
      <w:autoSpaceDE w:val="0"/>
      <w:autoSpaceDN w:val="0"/>
      <w:spacing w:after="0"/>
      <w:jc w:val="left"/>
    </w:pPr>
    <w:rPr>
      <w:rFonts w:eastAsia="Batang"/>
      <w:b/>
      <w:bCs/>
      <w:lang w:eastAsia="ko-KR"/>
    </w:rPr>
  </w:style>
  <w:style w:type="character" w:styleId="ad">
    <w:name w:val="FollowedHyperlink"/>
    <w:rsid w:val="00B3107A"/>
    <w:rPr>
      <w:color w:val="800080"/>
      <w:u w:val="single"/>
    </w:rPr>
  </w:style>
  <w:style w:type="paragraph" w:customStyle="1" w:styleId="Style12ptLeft01cm">
    <w:name w:val="Style 12 pt Left:  01 cm"/>
    <w:basedOn w:val="a"/>
    <w:rsid w:val="006A0BC9"/>
    <w:pPr>
      <w:ind w:left="57"/>
      <w:jc w:val="left"/>
    </w:pPr>
    <w:rPr>
      <w:rFonts w:eastAsia="Times New Roman"/>
      <w:lang w:eastAsia="ru-RU"/>
    </w:rPr>
  </w:style>
  <w:style w:type="character" w:customStyle="1" w:styleId="Style12pt">
    <w:name w:val="Style 12 pt"/>
    <w:rsid w:val="006A0BC9"/>
    <w:rPr>
      <w:sz w:val="22"/>
    </w:rPr>
  </w:style>
  <w:style w:type="paragraph" w:customStyle="1" w:styleId="Style12ptCentered">
    <w:name w:val="Style 12 pt Centered"/>
    <w:basedOn w:val="a"/>
    <w:rsid w:val="006A0BC9"/>
    <w:pPr>
      <w:jc w:val="center"/>
    </w:pPr>
    <w:rPr>
      <w:rFonts w:eastAsia="Times New Roman"/>
      <w:lang w:eastAsia="ru-RU"/>
    </w:rPr>
  </w:style>
  <w:style w:type="paragraph" w:customStyle="1" w:styleId="Style12ptRight">
    <w:name w:val="Style 12 pt Right"/>
    <w:basedOn w:val="a"/>
    <w:rsid w:val="006A0BC9"/>
    <w:pPr>
      <w:jc w:val="right"/>
    </w:pPr>
    <w:rPr>
      <w:rFonts w:eastAsia="Times New Roman"/>
      <w:lang w:eastAsia="ru-RU"/>
    </w:rPr>
  </w:style>
  <w:style w:type="character" w:customStyle="1" w:styleId="apple-converted-space">
    <w:name w:val="apple-converted-space"/>
    <w:rsid w:val="006A0BC9"/>
    <w:rPr>
      <w:rFonts w:cs="Times New Roman"/>
    </w:rPr>
  </w:style>
  <w:style w:type="paragraph" w:styleId="ae">
    <w:name w:val="List Paragraph"/>
    <w:basedOn w:val="a"/>
    <w:uiPriority w:val="34"/>
    <w:qFormat/>
    <w:rsid w:val="002B430D"/>
    <w:pPr>
      <w:autoSpaceDE/>
      <w:autoSpaceDN/>
      <w:ind w:left="720"/>
      <w:jc w:val="left"/>
    </w:pPr>
    <w:rPr>
      <w:rFonts w:ascii="Calibri" w:eastAsia="Calibri" w:hAnsi="Calibri"/>
      <w:szCs w:val="22"/>
      <w:lang w:eastAsia="en-US"/>
    </w:rPr>
  </w:style>
  <w:style w:type="paragraph" w:styleId="af">
    <w:name w:val="Block Text"/>
    <w:basedOn w:val="a"/>
    <w:rsid w:val="007F0E90"/>
    <w:pPr>
      <w:ind w:left="57" w:right="57"/>
    </w:pPr>
    <w:rPr>
      <w:rFonts w:eastAsia="Times New Roman"/>
      <w:sz w:val="24"/>
      <w:szCs w:val="24"/>
      <w:lang w:eastAsia="en-US"/>
    </w:rPr>
  </w:style>
  <w:style w:type="paragraph" w:styleId="af0">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1"/>
    <w:uiPriority w:val="99"/>
    <w:qFormat/>
    <w:rsid w:val="00CA4919"/>
    <w:pPr>
      <w:jc w:val="left"/>
    </w:pPr>
    <w:rPr>
      <w:rFonts w:eastAsia="Calibri"/>
      <w:sz w:val="20"/>
      <w:lang w:eastAsia="ru-RU"/>
    </w:rPr>
  </w:style>
  <w:style w:type="character" w:customStyle="1" w:styleId="af1">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link w:val="af0"/>
    <w:uiPriority w:val="99"/>
    <w:rsid w:val="00CA4919"/>
    <w:rPr>
      <w:rFonts w:eastAsia="Calibri"/>
    </w:rPr>
  </w:style>
  <w:style w:type="character" w:styleId="af2">
    <w:name w:val="footnote reference"/>
    <w:aliases w:val="текст сноски,Знак сноски-FN,Ciae niinee-FN,Знак сноски 1,fr,Used by Word for Help footnote symbols,Ссылка на сноску 45,Footnote Reference Number,16 Point,Superscript 6 Point,Referencia nota al pie,Ciae niinee 1,Odwołanie przypisu,зс"/>
    <w:uiPriority w:val="99"/>
    <w:qFormat/>
    <w:rsid w:val="00CA4919"/>
    <w:rPr>
      <w:rFonts w:cs="Times New Roman"/>
      <w:vertAlign w:val="superscript"/>
    </w:rPr>
  </w:style>
  <w:style w:type="paragraph" w:customStyle="1" w:styleId="BasicParagraph">
    <w:name w:val="[Basic Paragraph]"/>
    <w:basedOn w:val="a"/>
    <w:uiPriority w:val="99"/>
    <w:rsid w:val="00CE3900"/>
    <w:pPr>
      <w:adjustRightInd w:val="0"/>
      <w:spacing w:before="0" w:after="0" w:line="288" w:lineRule="auto"/>
      <w:jc w:val="left"/>
      <w:textAlignment w:val="center"/>
    </w:pPr>
    <w:rPr>
      <w:rFonts w:ascii="Minion Pro" w:eastAsia="Times New Roman" w:hAnsi="Minion Pro" w:cs="Minion Pro"/>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5785">
      <w:bodyDiv w:val="1"/>
      <w:marLeft w:val="0"/>
      <w:marRight w:val="0"/>
      <w:marTop w:val="0"/>
      <w:marBottom w:val="0"/>
      <w:divBdr>
        <w:top w:val="none" w:sz="0" w:space="0" w:color="auto"/>
        <w:left w:val="none" w:sz="0" w:space="0" w:color="auto"/>
        <w:bottom w:val="none" w:sz="0" w:space="0" w:color="auto"/>
        <w:right w:val="none" w:sz="0" w:space="0" w:color="auto"/>
      </w:divBdr>
    </w:div>
    <w:div w:id="276370549">
      <w:bodyDiv w:val="1"/>
      <w:marLeft w:val="0"/>
      <w:marRight w:val="0"/>
      <w:marTop w:val="0"/>
      <w:marBottom w:val="0"/>
      <w:divBdr>
        <w:top w:val="none" w:sz="0" w:space="0" w:color="auto"/>
        <w:left w:val="none" w:sz="0" w:space="0" w:color="auto"/>
        <w:bottom w:val="none" w:sz="0" w:space="0" w:color="auto"/>
        <w:right w:val="none" w:sz="0" w:space="0" w:color="auto"/>
      </w:divBdr>
    </w:div>
    <w:div w:id="287781691">
      <w:bodyDiv w:val="1"/>
      <w:marLeft w:val="0"/>
      <w:marRight w:val="0"/>
      <w:marTop w:val="0"/>
      <w:marBottom w:val="0"/>
      <w:divBdr>
        <w:top w:val="none" w:sz="0" w:space="0" w:color="auto"/>
        <w:left w:val="none" w:sz="0" w:space="0" w:color="auto"/>
        <w:bottom w:val="none" w:sz="0" w:space="0" w:color="auto"/>
        <w:right w:val="none" w:sz="0" w:space="0" w:color="auto"/>
      </w:divBdr>
    </w:div>
    <w:div w:id="298194293">
      <w:bodyDiv w:val="1"/>
      <w:marLeft w:val="0"/>
      <w:marRight w:val="0"/>
      <w:marTop w:val="0"/>
      <w:marBottom w:val="0"/>
      <w:divBdr>
        <w:top w:val="none" w:sz="0" w:space="0" w:color="auto"/>
        <w:left w:val="none" w:sz="0" w:space="0" w:color="auto"/>
        <w:bottom w:val="none" w:sz="0" w:space="0" w:color="auto"/>
        <w:right w:val="none" w:sz="0" w:space="0" w:color="auto"/>
      </w:divBdr>
    </w:div>
    <w:div w:id="335813394">
      <w:bodyDiv w:val="1"/>
      <w:marLeft w:val="0"/>
      <w:marRight w:val="0"/>
      <w:marTop w:val="0"/>
      <w:marBottom w:val="0"/>
      <w:divBdr>
        <w:top w:val="none" w:sz="0" w:space="0" w:color="auto"/>
        <w:left w:val="none" w:sz="0" w:space="0" w:color="auto"/>
        <w:bottom w:val="none" w:sz="0" w:space="0" w:color="auto"/>
        <w:right w:val="none" w:sz="0" w:space="0" w:color="auto"/>
      </w:divBdr>
    </w:div>
    <w:div w:id="470251744">
      <w:bodyDiv w:val="1"/>
      <w:marLeft w:val="0"/>
      <w:marRight w:val="0"/>
      <w:marTop w:val="0"/>
      <w:marBottom w:val="0"/>
      <w:divBdr>
        <w:top w:val="none" w:sz="0" w:space="0" w:color="auto"/>
        <w:left w:val="none" w:sz="0" w:space="0" w:color="auto"/>
        <w:bottom w:val="none" w:sz="0" w:space="0" w:color="auto"/>
        <w:right w:val="none" w:sz="0" w:space="0" w:color="auto"/>
      </w:divBdr>
    </w:div>
    <w:div w:id="473260294">
      <w:bodyDiv w:val="1"/>
      <w:marLeft w:val="0"/>
      <w:marRight w:val="0"/>
      <w:marTop w:val="0"/>
      <w:marBottom w:val="0"/>
      <w:divBdr>
        <w:top w:val="none" w:sz="0" w:space="0" w:color="auto"/>
        <w:left w:val="none" w:sz="0" w:space="0" w:color="auto"/>
        <w:bottom w:val="none" w:sz="0" w:space="0" w:color="auto"/>
        <w:right w:val="none" w:sz="0" w:space="0" w:color="auto"/>
      </w:divBdr>
    </w:div>
    <w:div w:id="767114021">
      <w:bodyDiv w:val="1"/>
      <w:marLeft w:val="0"/>
      <w:marRight w:val="0"/>
      <w:marTop w:val="0"/>
      <w:marBottom w:val="0"/>
      <w:divBdr>
        <w:top w:val="none" w:sz="0" w:space="0" w:color="auto"/>
        <w:left w:val="none" w:sz="0" w:space="0" w:color="auto"/>
        <w:bottom w:val="none" w:sz="0" w:space="0" w:color="auto"/>
        <w:right w:val="none" w:sz="0" w:space="0" w:color="auto"/>
      </w:divBdr>
      <w:divsChild>
        <w:div w:id="849373094">
          <w:marLeft w:val="0"/>
          <w:marRight w:val="0"/>
          <w:marTop w:val="0"/>
          <w:marBottom w:val="0"/>
          <w:divBdr>
            <w:top w:val="none" w:sz="0" w:space="0" w:color="auto"/>
            <w:left w:val="none" w:sz="0" w:space="0" w:color="auto"/>
            <w:bottom w:val="none" w:sz="0" w:space="0" w:color="auto"/>
            <w:right w:val="none" w:sz="0" w:space="0" w:color="auto"/>
          </w:divBdr>
        </w:div>
      </w:divsChild>
    </w:div>
    <w:div w:id="854000796">
      <w:bodyDiv w:val="1"/>
      <w:marLeft w:val="0"/>
      <w:marRight w:val="0"/>
      <w:marTop w:val="0"/>
      <w:marBottom w:val="0"/>
      <w:divBdr>
        <w:top w:val="none" w:sz="0" w:space="0" w:color="auto"/>
        <w:left w:val="none" w:sz="0" w:space="0" w:color="auto"/>
        <w:bottom w:val="none" w:sz="0" w:space="0" w:color="auto"/>
        <w:right w:val="none" w:sz="0" w:space="0" w:color="auto"/>
      </w:divBdr>
    </w:div>
    <w:div w:id="1049643579">
      <w:bodyDiv w:val="1"/>
      <w:marLeft w:val="0"/>
      <w:marRight w:val="0"/>
      <w:marTop w:val="0"/>
      <w:marBottom w:val="0"/>
      <w:divBdr>
        <w:top w:val="none" w:sz="0" w:space="0" w:color="auto"/>
        <w:left w:val="none" w:sz="0" w:space="0" w:color="auto"/>
        <w:bottom w:val="none" w:sz="0" w:space="0" w:color="auto"/>
        <w:right w:val="none" w:sz="0" w:space="0" w:color="auto"/>
      </w:divBdr>
    </w:div>
    <w:div w:id="1346634752">
      <w:bodyDiv w:val="1"/>
      <w:marLeft w:val="0"/>
      <w:marRight w:val="0"/>
      <w:marTop w:val="0"/>
      <w:marBottom w:val="0"/>
      <w:divBdr>
        <w:top w:val="none" w:sz="0" w:space="0" w:color="auto"/>
        <w:left w:val="none" w:sz="0" w:space="0" w:color="auto"/>
        <w:bottom w:val="none" w:sz="0" w:space="0" w:color="auto"/>
        <w:right w:val="none" w:sz="0" w:space="0" w:color="auto"/>
      </w:divBdr>
    </w:div>
    <w:div w:id="1563515174">
      <w:bodyDiv w:val="1"/>
      <w:marLeft w:val="0"/>
      <w:marRight w:val="0"/>
      <w:marTop w:val="0"/>
      <w:marBottom w:val="0"/>
      <w:divBdr>
        <w:top w:val="none" w:sz="0" w:space="0" w:color="auto"/>
        <w:left w:val="none" w:sz="0" w:space="0" w:color="auto"/>
        <w:bottom w:val="none" w:sz="0" w:space="0" w:color="auto"/>
        <w:right w:val="none" w:sz="0" w:space="0" w:color="auto"/>
      </w:divBdr>
    </w:div>
    <w:div w:id="1814562896">
      <w:bodyDiv w:val="1"/>
      <w:marLeft w:val="0"/>
      <w:marRight w:val="0"/>
      <w:marTop w:val="0"/>
      <w:marBottom w:val="0"/>
      <w:divBdr>
        <w:top w:val="none" w:sz="0" w:space="0" w:color="auto"/>
        <w:left w:val="none" w:sz="0" w:space="0" w:color="auto"/>
        <w:bottom w:val="none" w:sz="0" w:space="0" w:color="auto"/>
        <w:right w:val="none" w:sz="0" w:space="0" w:color="auto"/>
      </w:divBdr>
    </w:div>
    <w:div w:id="1844736337">
      <w:bodyDiv w:val="1"/>
      <w:marLeft w:val="0"/>
      <w:marRight w:val="0"/>
      <w:marTop w:val="0"/>
      <w:marBottom w:val="0"/>
      <w:divBdr>
        <w:top w:val="none" w:sz="0" w:space="0" w:color="auto"/>
        <w:left w:val="none" w:sz="0" w:space="0" w:color="auto"/>
        <w:bottom w:val="none" w:sz="0" w:space="0" w:color="auto"/>
        <w:right w:val="none" w:sz="0" w:space="0" w:color="auto"/>
      </w:divBdr>
    </w:div>
    <w:div w:id="1897159090">
      <w:bodyDiv w:val="1"/>
      <w:marLeft w:val="0"/>
      <w:marRight w:val="0"/>
      <w:marTop w:val="0"/>
      <w:marBottom w:val="0"/>
      <w:divBdr>
        <w:top w:val="none" w:sz="0" w:space="0" w:color="auto"/>
        <w:left w:val="none" w:sz="0" w:space="0" w:color="auto"/>
        <w:bottom w:val="none" w:sz="0" w:space="0" w:color="auto"/>
        <w:right w:val="none" w:sz="0" w:space="0" w:color="auto"/>
      </w:divBdr>
    </w:div>
    <w:div w:id="2087140669">
      <w:bodyDiv w:val="1"/>
      <w:marLeft w:val="0"/>
      <w:marRight w:val="0"/>
      <w:marTop w:val="0"/>
      <w:marBottom w:val="0"/>
      <w:divBdr>
        <w:top w:val="none" w:sz="0" w:space="0" w:color="auto"/>
        <w:left w:val="none" w:sz="0" w:space="0" w:color="auto"/>
        <w:bottom w:val="none" w:sz="0" w:space="0" w:color="auto"/>
        <w:right w:val="none" w:sz="0" w:space="0" w:color="auto"/>
      </w:divBdr>
    </w:div>
    <w:div w:id="21411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mholding.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ogin.consultant.ru/link/?req=doc&amp;base=LAW&amp;n=481475&amp;dst=2448&amp;field=134&amp;date=13.03.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1475&amp;dst=2448&amp;field=134&amp;date=13.03.202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5170</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16</vt:lpstr>
      <vt:lpstr>Приложение 16</vt:lpstr>
    </vt:vector>
  </TitlesOfParts>
  <Company>ОГК-2</Company>
  <LinksUpToDate>false</LinksUpToDate>
  <CharactersWithSpaces>6064</CharactersWithSpaces>
  <SharedDoc>false</SharedDoc>
  <HLinks>
    <vt:vector size="18" baseType="variant">
      <vt:variant>
        <vt:i4>7143535</vt:i4>
      </vt:variant>
      <vt:variant>
        <vt:i4>6</vt:i4>
      </vt:variant>
      <vt:variant>
        <vt:i4>0</vt:i4>
      </vt:variant>
      <vt:variant>
        <vt:i4>5</vt:i4>
      </vt:variant>
      <vt:variant>
        <vt:lpwstr>https://login.consultant.ru/link/?req=doc&amp;base=LAW&amp;n=481475&amp;dst=2448&amp;field=134&amp;date=13.03.2025</vt:lpwstr>
      </vt:variant>
      <vt:variant>
        <vt:lpwstr/>
      </vt:variant>
      <vt:variant>
        <vt:i4>7143535</vt:i4>
      </vt:variant>
      <vt:variant>
        <vt:i4>3</vt:i4>
      </vt:variant>
      <vt:variant>
        <vt:i4>0</vt:i4>
      </vt:variant>
      <vt:variant>
        <vt:i4>5</vt:i4>
      </vt:variant>
      <vt:variant>
        <vt:lpwstr>https://login.consultant.ru/link/?req=doc&amp;base=LAW&amp;n=481475&amp;dst=2448&amp;field=134&amp;date=13.03.2025</vt:lpwstr>
      </vt:variant>
      <vt:variant>
        <vt:lpwstr/>
      </vt:variant>
      <vt:variant>
        <vt:i4>524291</vt:i4>
      </vt:variant>
      <vt:variant>
        <vt:i4>0</vt:i4>
      </vt:variant>
      <vt:variant>
        <vt:i4>0</vt:i4>
      </vt:variant>
      <vt:variant>
        <vt:i4>5</vt:i4>
      </vt:variant>
      <vt:variant>
        <vt:lpwstr>http://www.tmholding.ru/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16</dc:title>
  <dc:subject/>
  <dc:creator>Prof-SlejovaNA</dc:creator>
  <cp:keywords/>
  <cp:lastModifiedBy>ДВС</cp:lastModifiedBy>
  <cp:revision>2</cp:revision>
  <cp:lastPrinted>2013-03-05T10:12:00Z</cp:lastPrinted>
  <dcterms:created xsi:type="dcterms:W3CDTF">2026-05-13T12:52:00Z</dcterms:created>
  <dcterms:modified xsi:type="dcterms:W3CDTF">2026-05-13T12:52:00Z</dcterms:modified>
</cp:coreProperties>
</file>