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26870" w14:textId="33ABFF57" w:rsidR="00E90487" w:rsidRPr="00783768" w:rsidRDefault="00E90487" w:rsidP="00E90487">
      <w:pPr>
        <w:tabs>
          <w:tab w:val="left" w:pos="5610"/>
        </w:tabs>
        <w:spacing w:after="120"/>
        <w:rPr>
          <w:noProof/>
          <w:spacing w:val="34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F4F61B" wp14:editId="4069BE08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768">
        <w:rPr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7518"/>
      </w:tblGrid>
      <w:tr w:rsidR="00E90487" w:rsidRPr="00783768" w14:paraId="1A8A1045" w14:textId="77777777" w:rsidTr="0082700D">
        <w:trPr>
          <w:trHeight w:hRule="exact" w:val="227"/>
        </w:trPr>
        <w:tc>
          <w:tcPr>
            <w:tcW w:w="7518" w:type="dxa"/>
          </w:tcPr>
          <w:p w14:paraId="41BD69A1" w14:textId="77777777" w:rsidR="00E90487" w:rsidRPr="009B6162" w:rsidRDefault="00E90487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119048, Россия, Москва, ул. Ефремова, д. 10</w:t>
            </w:r>
          </w:p>
        </w:tc>
      </w:tr>
      <w:tr w:rsidR="00E90487" w:rsidRPr="00783768" w14:paraId="13CB05CF" w14:textId="77777777" w:rsidTr="0082700D">
        <w:trPr>
          <w:trHeight w:hRule="exact" w:val="227"/>
        </w:trPr>
        <w:tc>
          <w:tcPr>
            <w:tcW w:w="7518" w:type="dxa"/>
          </w:tcPr>
          <w:p w14:paraId="3D9EE52F" w14:textId="77777777" w:rsidR="00E90487" w:rsidRPr="009B6162" w:rsidRDefault="00E90487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Тел</w:t>
            </w: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E90487" w:rsidRPr="00783768" w14:paraId="1DE9951C" w14:textId="77777777" w:rsidTr="0082700D">
        <w:trPr>
          <w:trHeight w:hRule="exact" w:val="227"/>
        </w:trPr>
        <w:tc>
          <w:tcPr>
            <w:tcW w:w="7518" w:type="dxa"/>
          </w:tcPr>
          <w:p w14:paraId="6EAA7F7B" w14:textId="77777777" w:rsidR="00E90487" w:rsidRPr="009B6162" w:rsidRDefault="00E90487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E90487" w:rsidRPr="00783768" w14:paraId="10233826" w14:textId="77777777" w:rsidTr="0082700D">
        <w:trPr>
          <w:trHeight w:hRule="exact" w:val="227"/>
        </w:trPr>
        <w:tc>
          <w:tcPr>
            <w:tcW w:w="7518" w:type="dxa"/>
          </w:tcPr>
          <w:p w14:paraId="250A1DBA" w14:textId="77777777" w:rsidR="00E90487" w:rsidRPr="009B6162" w:rsidRDefault="00061F6C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8" w:history="1">
              <w:r w:rsidR="00E90487" w:rsidRPr="009B6162">
                <w:rPr>
                  <w:rStyle w:val="af0"/>
                  <w:rFonts w:asciiTheme="minorHAnsi" w:hAnsiTheme="minorHAns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14:paraId="239A7130" w14:textId="686F7C8D" w:rsidR="00E90487" w:rsidRDefault="00E90487" w:rsidP="004F662D">
      <w:pPr>
        <w:rPr>
          <w:b/>
          <w:szCs w:val="22"/>
        </w:rPr>
      </w:pPr>
      <w:r>
        <w:rPr>
          <w:rFonts w:asciiTheme="minorHAnsi" w:hAnsiTheme="minorHAnsi" w:cs="Calibri"/>
          <w:b/>
          <w:bCs/>
          <w:sz w:val="20"/>
        </w:rPr>
        <w:t xml:space="preserve">                             </w:t>
      </w:r>
    </w:p>
    <w:p w14:paraId="383D7AB9" w14:textId="21891940" w:rsidR="00A656A3" w:rsidRPr="003154AD" w:rsidRDefault="00A656A3" w:rsidP="00E90487">
      <w:pPr>
        <w:jc w:val="center"/>
        <w:rPr>
          <w:rFonts w:asciiTheme="minorHAnsi" w:hAnsiTheme="minorHAnsi" w:cstheme="minorHAnsi"/>
          <w:b/>
          <w:sz w:val="20"/>
        </w:rPr>
      </w:pPr>
      <w:r w:rsidRPr="003154AD">
        <w:rPr>
          <w:rFonts w:asciiTheme="minorHAnsi" w:hAnsiTheme="minorHAnsi" w:cstheme="minorHAnsi"/>
          <w:b/>
          <w:sz w:val="20"/>
        </w:rPr>
        <w:t xml:space="preserve">Сообщение </w:t>
      </w:r>
      <w:r w:rsidR="00EF1A85" w:rsidRPr="003154AD">
        <w:rPr>
          <w:rFonts w:asciiTheme="minorHAnsi" w:hAnsiTheme="minorHAnsi" w:cstheme="minorHAnsi"/>
          <w:b/>
          <w:sz w:val="20"/>
        </w:rPr>
        <w:t>о существенном факте об иных событиях (действиях), оказывающих, по мнению эмитента, существенное влияние на стоимость или котировки его ценных бумаг</w:t>
      </w:r>
    </w:p>
    <w:p w14:paraId="3E6791BA" w14:textId="77777777" w:rsidR="004F662D" w:rsidRPr="003154AD" w:rsidRDefault="004F662D" w:rsidP="00E90487">
      <w:pPr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A656A3" w:rsidRPr="003154AD" w14:paraId="0FF1EF2A" w14:textId="77777777" w:rsidTr="00927FF6">
        <w:tc>
          <w:tcPr>
            <w:tcW w:w="5000" w:type="pct"/>
            <w:gridSpan w:val="2"/>
            <w:vAlign w:val="bottom"/>
          </w:tcPr>
          <w:p w14:paraId="2999E4F9" w14:textId="7AEA2805" w:rsidR="00A656A3" w:rsidRPr="003154AD" w:rsidRDefault="00A656A3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 Общие сведения</w:t>
            </w:r>
          </w:p>
        </w:tc>
      </w:tr>
      <w:tr w:rsidR="004F662D" w:rsidRPr="003154AD" w14:paraId="42FF4A20" w14:textId="77777777" w:rsidTr="00927FF6">
        <w:tc>
          <w:tcPr>
            <w:tcW w:w="2500" w:type="pct"/>
          </w:tcPr>
          <w:p w14:paraId="4F70D568" w14:textId="61375856" w:rsidR="004F662D" w:rsidRPr="003154AD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2500" w:type="pct"/>
            <w:vAlign w:val="center"/>
          </w:tcPr>
          <w:p w14:paraId="36B7C4A2" w14:textId="7600910F" w:rsidR="004F662D" w:rsidRPr="003154AD" w:rsidRDefault="00E90487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а</w:t>
            </w:r>
            <w:r w:rsidR="0040434C" w:rsidRPr="003154AD">
              <w:rPr>
                <w:rFonts w:asciiTheme="minorHAnsi" w:hAnsiTheme="minorHAnsi" w:cstheme="minorHAnsi"/>
                <w:sz w:val="20"/>
              </w:rPr>
              <w:t>кционерное общество "Трансмашхолдинг"</w:t>
            </w:r>
          </w:p>
        </w:tc>
      </w:tr>
      <w:tr w:rsidR="004F662D" w:rsidRPr="003154AD" w14:paraId="6D1947D3" w14:textId="77777777" w:rsidTr="00927FF6">
        <w:tc>
          <w:tcPr>
            <w:tcW w:w="2500" w:type="pct"/>
          </w:tcPr>
          <w:p w14:paraId="6DE50B2C" w14:textId="1E3154D0" w:rsidR="004F662D" w:rsidRPr="003154AD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2500" w:type="pct"/>
            <w:vAlign w:val="center"/>
          </w:tcPr>
          <w:p w14:paraId="06EA7F10" w14:textId="30F76880" w:rsidR="004F662D" w:rsidRPr="003154AD" w:rsidRDefault="0040434C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115054, г. Москва, набережная Озерковская, д. 54 стр. 1</w:t>
            </w:r>
          </w:p>
        </w:tc>
      </w:tr>
      <w:tr w:rsidR="004F662D" w:rsidRPr="003154AD" w14:paraId="53AB7858" w14:textId="77777777" w:rsidTr="00927FF6">
        <w:tc>
          <w:tcPr>
            <w:tcW w:w="2500" w:type="pct"/>
          </w:tcPr>
          <w:p w14:paraId="7DE560A3" w14:textId="4958A27C" w:rsidR="004F662D" w:rsidRPr="003154AD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2500" w:type="pct"/>
            <w:vAlign w:val="center"/>
          </w:tcPr>
          <w:p w14:paraId="63B93823" w14:textId="7FF6937C" w:rsidR="004F662D" w:rsidRPr="003154AD" w:rsidRDefault="0040434C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1027739893246</w:t>
            </w:r>
          </w:p>
        </w:tc>
      </w:tr>
      <w:tr w:rsidR="004F662D" w:rsidRPr="003154AD" w14:paraId="2C7FF38A" w14:textId="77777777" w:rsidTr="00927FF6">
        <w:tc>
          <w:tcPr>
            <w:tcW w:w="2500" w:type="pct"/>
          </w:tcPr>
          <w:p w14:paraId="7434BBCE" w14:textId="2157D7B9" w:rsidR="004F662D" w:rsidRPr="003154AD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1.4. Иденти</w:t>
            </w:r>
            <w:r w:rsidR="004B0779">
              <w:rPr>
                <w:rFonts w:asciiTheme="minorHAnsi" w:hAnsiTheme="minorHAnsi" w:cstheme="minorHAnsi"/>
                <w:sz w:val="20"/>
              </w:rPr>
              <w:t>фикационный номер налогоплательщ</w:t>
            </w:r>
            <w:r w:rsidR="004B0779" w:rsidRPr="003154AD">
              <w:rPr>
                <w:rFonts w:asciiTheme="minorHAnsi" w:hAnsiTheme="minorHAnsi" w:cstheme="minorHAnsi"/>
                <w:sz w:val="20"/>
              </w:rPr>
              <w:t>ика</w:t>
            </w:r>
            <w:r w:rsidRPr="003154AD">
              <w:rPr>
                <w:rFonts w:asciiTheme="minorHAnsi" w:hAnsiTheme="minorHAnsi" w:cstheme="minorHAnsi"/>
                <w:sz w:val="20"/>
              </w:rPr>
              <w:t xml:space="preserve"> (ИНН) эмитента (при наличии)</w:t>
            </w:r>
          </w:p>
        </w:tc>
        <w:tc>
          <w:tcPr>
            <w:tcW w:w="2500" w:type="pct"/>
            <w:vAlign w:val="center"/>
          </w:tcPr>
          <w:p w14:paraId="2615C6FF" w14:textId="04C932D2" w:rsidR="004F662D" w:rsidRPr="003154AD" w:rsidRDefault="0040434C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7723199790</w:t>
            </w:r>
          </w:p>
        </w:tc>
      </w:tr>
      <w:tr w:rsidR="004F662D" w:rsidRPr="003154AD" w14:paraId="4884C661" w14:textId="77777777" w:rsidTr="00927FF6">
        <w:tc>
          <w:tcPr>
            <w:tcW w:w="2500" w:type="pct"/>
          </w:tcPr>
          <w:p w14:paraId="43AEB2E0" w14:textId="449BC00D" w:rsidR="004F662D" w:rsidRPr="003154AD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1.5. Уникальный код эмитента, присвоенный Банком России</w:t>
            </w:r>
          </w:p>
        </w:tc>
        <w:tc>
          <w:tcPr>
            <w:tcW w:w="2500" w:type="pct"/>
            <w:vAlign w:val="center"/>
          </w:tcPr>
          <w:p w14:paraId="201108A1" w14:textId="7ECE3402" w:rsidR="004F662D" w:rsidRPr="003154AD" w:rsidRDefault="0040434C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35992-H</w:t>
            </w:r>
          </w:p>
        </w:tc>
      </w:tr>
      <w:tr w:rsidR="004F662D" w:rsidRPr="003154AD" w14:paraId="3EA26B9C" w14:textId="77777777" w:rsidTr="00927FF6">
        <w:tc>
          <w:tcPr>
            <w:tcW w:w="2500" w:type="pct"/>
          </w:tcPr>
          <w:p w14:paraId="28BB526E" w14:textId="3F04C8C4" w:rsidR="004F662D" w:rsidRPr="003154AD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2500" w:type="pct"/>
            <w:vAlign w:val="center"/>
          </w:tcPr>
          <w:p w14:paraId="3555FB9C" w14:textId="13DCCBF5" w:rsidR="004F662D" w:rsidRPr="003154AD" w:rsidRDefault="0040434C" w:rsidP="004F662D">
            <w:pPr>
              <w:rPr>
                <w:rFonts w:asciiTheme="minorHAnsi" w:hAnsiTheme="minorHAnsi" w:cstheme="minorHAnsi"/>
                <w:sz w:val="20"/>
              </w:rPr>
            </w:pPr>
            <w:r w:rsidRPr="003154AD">
              <w:rPr>
                <w:rFonts w:asciiTheme="minorHAnsi" w:hAnsiTheme="minorHAnsi" w:cstheme="minorHAnsi"/>
                <w:sz w:val="20"/>
              </w:rPr>
              <w:t>https://www.e-disclosure.ru/portal/company.aspx?id=4426; http://www.tmholding.ru</w:t>
            </w:r>
          </w:p>
        </w:tc>
      </w:tr>
      <w:tr w:rsidR="004F662D" w:rsidRPr="003154AD" w14:paraId="691968E9" w14:textId="77777777" w:rsidTr="00242BC9">
        <w:tc>
          <w:tcPr>
            <w:tcW w:w="2500" w:type="pct"/>
            <w:shd w:val="clear" w:color="auto" w:fill="auto"/>
          </w:tcPr>
          <w:p w14:paraId="780714A3" w14:textId="788091F3" w:rsidR="004F662D" w:rsidRPr="00242BC9" w:rsidRDefault="004F662D" w:rsidP="004F662D">
            <w:pPr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2AFB0AB" w14:textId="7F0EEEC0" w:rsidR="004F662D" w:rsidRPr="00242BC9" w:rsidRDefault="0040434C" w:rsidP="004F662D">
            <w:pPr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02.06</w:t>
            </w:r>
            <w:r w:rsidR="004F662D" w:rsidRPr="00242BC9">
              <w:rPr>
                <w:rFonts w:asciiTheme="minorHAnsi" w:hAnsiTheme="minorHAnsi" w:cstheme="minorHAnsi"/>
                <w:sz w:val="20"/>
              </w:rPr>
              <w:t>.2026</w:t>
            </w:r>
          </w:p>
        </w:tc>
      </w:tr>
      <w:tr w:rsidR="0032501D" w:rsidRPr="003154AD" w14:paraId="72B3928D" w14:textId="77777777" w:rsidTr="00242BC9">
        <w:tc>
          <w:tcPr>
            <w:tcW w:w="5000" w:type="pct"/>
            <w:gridSpan w:val="2"/>
            <w:shd w:val="clear" w:color="auto" w:fill="auto"/>
          </w:tcPr>
          <w:p w14:paraId="0EDA95DA" w14:textId="188923A3" w:rsidR="0032501D" w:rsidRPr="00242BC9" w:rsidRDefault="0032501D" w:rsidP="00B413C7">
            <w:pPr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2. Содержание сообщения</w:t>
            </w:r>
          </w:p>
        </w:tc>
      </w:tr>
      <w:tr w:rsidR="008D6264" w:rsidRPr="003154AD" w14:paraId="156A183E" w14:textId="77777777" w:rsidTr="00242BC9">
        <w:tc>
          <w:tcPr>
            <w:tcW w:w="5000" w:type="pct"/>
            <w:gridSpan w:val="2"/>
            <w:shd w:val="clear" w:color="auto" w:fill="auto"/>
          </w:tcPr>
          <w:p w14:paraId="2591004A" w14:textId="77777777" w:rsidR="004F662D" w:rsidRPr="00242BC9" w:rsidRDefault="00F60503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2.1</w:t>
            </w:r>
            <w:r w:rsidR="003923F0" w:rsidRPr="00242BC9">
              <w:rPr>
                <w:rFonts w:asciiTheme="minorHAnsi" w:hAnsiTheme="minorHAnsi" w:cstheme="minorHAnsi"/>
                <w:sz w:val="20"/>
              </w:rPr>
              <w:t xml:space="preserve">. Краткое описание события (действия), наступление (совершение) которого, по мнению эмитента, оказывает влияние на стоимость или котировки его ценных бумаг: </w:t>
            </w:r>
          </w:p>
          <w:p w14:paraId="0B2D9A1E" w14:textId="66D7514E" w:rsidR="003923F0" w:rsidRPr="00242BC9" w:rsidRDefault="003923F0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Принятие Эмитентом решения </w:t>
            </w:r>
            <w:r w:rsidR="001A7307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об установлении порядка заключения </w:t>
            </w:r>
            <w:r w:rsidR="00B01EA1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п</w:t>
            </w:r>
            <w:r w:rsidR="001A7307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редварительных договоров по </w:t>
            </w:r>
            <w:r w:rsidR="00615BE6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биржевым облигациям процентным неконвертируемым бездокументарным</w:t>
            </w:r>
            <w:r w:rsidR="00187E96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серии </w:t>
            </w:r>
            <w:r w:rsidR="00B01EA1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ПБО-08, регистрационный номер выпуска 4B02-08-35992-H-001P от 01.06.2026 (далее – </w:t>
            </w:r>
            <w:r w:rsidR="00772AC8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Биржевые облигации), размещаемым</w:t>
            </w:r>
            <w:r w:rsidR="00B01EA1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в рамках программы биржевых облигаций серии П01-БО, идентификационный номер программы 4-35992-H-001P-02E от 23.12.2016 (далее - Программа)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</w:p>
          <w:p w14:paraId="2E7111F5" w14:textId="77777777" w:rsidR="004F662D" w:rsidRPr="00242BC9" w:rsidRDefault="00F60503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2.2</w:t>
            </w:r>
            <w:r w:rsidR="003923F0" w:rsidRPr="00242BC9">
              <w:rPr>
                <w:rFonts w:asciiTheme="minorHAnsi" w:hAnsiTheme="minorHAnsi" w:cstheme="minorHAnsi"/>
                <w:sz w:val="20"/>
              </w:rPr>
              <w:t>. В случае если событие (действие) имеет отношение к третьему лицу - полное фирменное наименование (для коммерческой организации) или наименование (для некоммерческих организаций), место нахождения, идентификационный номер налогоплательщика (ИНН) (при наличии), основной государственный регистрационный номер (ОГРН) (при наличии) или фамилия, имя, отчество</w:t>
            </w:r>
            <w:r w:rsidR="00187E96" w:rsidRPr="00242BC9">
              <w:rPr>
                <w:rFonts w:asciiTheme="minorHAnsi" w:hAnsiTheme="minorHAnsi" w:cstheme="minorHAnsi"/>
                <w:sz w:val="20"/>
              </w:rPr>
              <w:t xml:space="preserve"> (при наличии) указанного лица: </w:t>
            </w:r>
          </w:p>
          <w:p w14:paraId="0C85D46B" w14:textId="402D8C6D" w:rsidR="003923F0" w:rsidRPr="00242BC9" w:rsidRDefault="003923F0" w:rsidP="004D1CAB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Привести информацию не представляется возможным, информация затрагивает потенциальных приобретателей Биржевых облигаций.</w:t>
            </w:r>
          </w:p>
          <w:p w14:paraId="1B389273" w14:textId="6457022B" w:rsidR="00DB0A0F" w:rsidRPr="00242BC9" w:rsidRDefault="00DB0A0F" w:rsidP="00DB0A0F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</w:pPr>
            <w:r w:rsidRPr="00242BC9"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  <w:t>Информация об Андеррайтере:</w:t>
            </w:r>
          </w:p>
          <w:p w14:paraId="43C4D02F" w14:textId="77777777" w:rsidR="00DB0A0F" w:rsidRPr="00242BC9" w:rsidRDefault="00DB0A0F" w:rsidP="00DB0A0F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</w:pPr>
            <w:r w:rsidRPr="00242BC9"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  <w:t xml:space="preserve">Полное фирменное наименование: Общество с ограниченной ответственностью ВТБ Капитал </w:t>
            </w:r>
            <w:proofErr w:type="spellStart"/>
            <w:r w:rsidRPr="00242BC9"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  <w:t>Трейдинг</w:t>
            </w:r>
            <w:proofErr w:type="spellEnd"/>
          </w:p>
          <w:p w14:paraId="7073616E" w14:textId="77777777" w:rsidR="00DB0A0F" w:rsidRPr="00242BC9" w:rsidRDefault="00DB0A0F" w:rsidP="00DB0A0F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</w:pPr>
            <w:r w:rsidRPr="00242BC9"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  <w:t>ОГРН: 1107746692822</w:t>
            </w:r>
          </w:p>
          <w:p w14:paraId="156DA84F" w14:textId="77777777" w:rsidR="00DB0A0F" w:rsidRPr="00242BC9" w:rsidRDefault="00DB0A0F" w:rsidP="00DB0A0F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</w:pPr>
            <w:r w:rsidRPr="00242BC9"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  <w:t>ИНН 7710872947</w:t>
            </w:r>
          </w:p>
          <w:p w14:paraId="2ADE8F2E" w14:textId="77777777" w:rsidR="00DB0A0F" w:rsidRPr="00242BC9" w:rsidRDefault="00DB0A0F" w:rsidP="00DB0A0F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</w:pPr>
            <w:r w:rsidRPr="00242BC9">
              <w:rPr>
                <w:rFonts w:asciiTheme="minorHAnsi" w:hAnsiTheme="minorHAnsi" w:cstheme="minorHAnsi"/>
                <w:b/>
                <w:i/>
                <w:color w:val="000000"/>
                <w:sz w:val="20"/>
                <w:lang w:eastAsia="ru-RU"/>
              </w:rPr>
              <w:t>Место нахождения: 123112, г. Москва, наб. Пресненская, д. 12, этаж/ место 31/ 31. 120А</w:t>
            </w:r>
          </w:p>
          <w:p w14:paraId="590C1359" w14:textId="6B36593D" w:rsidR="008D6264" w:rsidRPr="00242BC9" w:rsidRDefault="00F60503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2.3</w:t>
            </w:r>
            <w:r w:rsidR="008D6264" w:rsidRPr="00242BC9">
              <w:rPr>
                <w:rFonts w:asciiTheme="minorHAnsi" w:hAnsiTheme="minorHAnsi" w:cstheme="minorHAnsi"/>
                <w:sz w:val="20"/>
              </w:rPr>
              <w:t>. В случае если событие (действие) имеет отношение к решению, принятому уполномоченным органом управления (уполномоченным должностным лицом) эмитента или третьего лица, - наименование уполномоченного органа управления (уполномоченного должностного лица), дата принятия и содержание принятого решения, а если решение принято коллегиальным органом управления эмитента или третьего лица - также дата составления и номер протокола собрания (заседания) уполномоченного коллегиального органа управления эмитента или третьего лица:</w:t>
            </w:r>
          </w:p>
          <w:p w14:paraId="03289E99" w14:textId="77777777" w:rsidR="00D3671E" w:rsidRPr="00242BC9" w:rsidRDefault="00D3671E" w:rsidP="00D3671E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Решение принято уполномоченным лицом Эмитента - Заместителем генерального директора по экономике и финансам, 02.06.2026.</w:t>
            </w:r>
          </w:p>
          <w:p w14:paraId="5A552C57" w14:textId="15611D1D" w:rsidR="008D6264" w:rsidRPr="00242BC9" w:rsidRDefault="008D6264" w:rsidP="00D3671E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Содержание решения, принятого единоличным исполнительным органом Эмитента: </w:t>
            </w:r>
          </w:p>
          <w:p w14:paraId="6D2AD3F3" w14:textId="77777777" w:rsidR="00A22D00" w:rsidRPr="00242BC9" w:rsidRDefault="00A22D00" w:rsidP="00A22D0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1.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ab/>
              <w:t xml:space="preserve">Установить, что заключение предварительных договоров по размещению биржевых облигаций акционерного общества «Трансмашхолдинг» процентных неконвертируемых бездокументарных серии ПБО-08, 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lastRenderedPageBreak/>
              <w:t>регистрационный номер выпуска 4B02-08-35992-H-001P от 01.06.2026 (далее – Биржевые облигации), размещаемых в рамках программы биржевых облигаций серии П01-БО, идентификационный номер программы 4-35992-H-001P-02E от 23.12.2016 (далее – Программа), осуществляется в порядке, установленном Программой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купона.</w:t>
            </w:r>
          </w:p>
          <w:p w14:paraId="1F1205B8" w14:textId="77777777" w:rsidR="00A22D00" w:rsidRPr="00242BC9" w:rsidRDefault="00A22D00" w:rsidP="00A22D0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2.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ab/>
              <w:t>Установить, что информация о сроке для направления оферт с предложением заключить предварительные договоры, как этот термин определен в Программе, должна быть раскрыта Эмитентом в Ленте новостей, как этот термин определен в Программе, не позднее 1 (одного) рабочего дня с даты принятия такого решения Эмитентом. Указанная информация должна содержать в себе форму оферты с предложением заключить предварительный договор, а также порядок и срок направления данных оферт.</w:t>
            </w:r>
          </w:p>
          <w:p w14:paraId="117221D0" w14:textId="77777777" w:rsidR="00A22D00" w:rsidRPr="00242BC9" w:rsidRDefault="00A22D00" w:rsidP="00A22D0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3.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ab/>
              <w:t xml:space="preserve">Установить, что оферты с предложением заключить предварительные договоры должны направляться в адрес Общества с ограниченной ответственностью «ВТБ Капитал </w:t>
            </w:r>
            <w:proofErr w:type="spellStart"/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Трейдинг</w:t>
            </w:r>
            <w:proofErr w:type="spellEnd"/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».</w:t>
            </w:r>
          </w:p>
          <w:p w14:paraId="6287E45A" w14:textId="77777777" w:rsidR="00A22D00" w:rsidRPr="00242BC9" w:rsidRDefault="00A22D00" w:rsidP="00A22D0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4.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ab/>
              <w:t>Установить, что срок для направления оферт с предложением заключить предварительные договоры начинается в 11:00 по московскому времени 02.06.2026 и заканчивается в 15:00 по московскому времени 02.06.2026.</w:t>
            </w:r>
          </w:p>
          <w:p w14:paraId="4295482D" w14:textId="12504EF4" w:rsidR="00A05D47" w:rsidRPr="00242BC9" w:rsidRDefault="00A22D00" w:rsidP="00A22D00">
            <w:pPr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5.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ab/>
              <w:t xml:space="preserve">Назначить Общество с ограниченной ответственностью «ВТБ Капитал </w:t>
            </w:r>
            <w:proofErr w:type="spellStart"/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Трейдинг</w:t>
            </w:r>
            <w:proofErr w:type="spellEnd"/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» (по согласованию) в качестве юридического лица, которое будет исполнять функции Андеррайтера, как этот термин определен в Программе, при размещении Биржевых облигаций.</w:t>
            </w:r>
          </w:p>
          <w:p w14:paraId="1A7C0874" w14:textId="5B387312" w:rsidR="008D6264" w:rsidRPr="00242BC9" w:rsidRDefault="00F60503" w:rsidP="004D1CAB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2.4. </w:t>
            </w:r>
            <w:r w:rsidR="008D6264" w:rsidRPr="00242BC9">
              <w:rPr>
                <w:rFonts w:asciiTheme="minorHAnsi" w:hAnsiTheme="minorHAnsi" w:cstheme="minorHAnsi"/>
                <w:sz w:val="20"/>
              </w:rPr>
              <w:t>Приглашение делать оферты на заключение Предварительных договоров, как этот термин определен в Программе, в соответствии с которыми инвестор и эмитент обязуются заключить в дату начала размещения Биржевых облигаций основные договоры купли-продажи Биржевых облигаций:</w:t>
            </w:r>
          </w:p>
          <w:p w14:paraId="235D0F74" w14:textId="77777777" w:rsidR="008D6264" w:rsidRPr="00242BC9" w:rsidRDefault="008D6264" w:rsidP="004D1CA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91F95E6" w14:textId="77777777" w:rsidR="00ED3D66" w:rsidRPr="00242BC9" w:rsidRDefault="00ED3D66" w:rsidP="004D1CA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sz w:val="20"/>
              </w:rPr>
              <w:t>Касательно: Участие в размещении биржевых облигаций.</w:t>
            </w:r>
          </w:p>
          <w:p w14:paraId="6BC65B8A" w14:textId="77777777" w:rsidR="00ED3D66" w:rsidRPr="00242BC9" w:rsidRDefault="00ED3D66" w:rsidP="00ED3D6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3B2A5CF" w14:textId="77777777" w:rsidR="00ED3D66" w:rsidRPr="00242BC9" w:rsidRDefault="00ED3D66" w:rsidP="00ED3D6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sz w:val="20"/>
              </w:rPr>
              <w:t>ТЕРМИНЫ И ОПРЕДЕЛЕНИЯ:</w:t>
            </w:r>
          </w:p>
          <w:p w14:paraId="678FC698" w14:textId="77777777" w:rsidR="00ED3D66" w:rsidRPr="00242BC9" w:rsidRDefault="00ED3D66" w:rsidP="00ED3D6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9"/>
              <w:gridCol w:w="7570"/>
            </w:tblGrid>
            <w:tr w:rsidR="00ED3D66" w:rsidRPr="00242BC9" w14:paraId="0732A240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2B19A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Эмитент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42880" w14:textId="4F614C41" w:rsidR="00ED3D66" w:rsidRPr="00242BC9" w:rsidRDefault="00F319E3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акционерное общество "Трансмашхолдинг"</w:t>
                  </w:r>
                </w:p>
              </w:tc>
            </w:tr>
            <w:tr w:rsidR="00ED3D66" w:rsidRPr="00242BC9" w14:paraId="776EB98A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72C85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Сайт Эмитента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3B7CB" w14:textId="0B1B89D3" w:rsidR="00ED3D66" w:rsidRPr="00242BC9" w:rsidRDefault="00F319E3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https://www.e-disclosure.ru/portal/company.aspx?id=4426</w:t>
                  </w:r>
                </w:p>
              </w:tc>
            </w:tr>
            <w:tr w:rsidR="00927FF6" w:rsidRPr="00242BC9" w14:paraId="1AD723F0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91CF" w14:textId="77DB20A7" w:rsidR="00927FF6" w:rsidRPr="00242BC9" w:rsidRDefault="00927FF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Организаторы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97EED" w14:textId="50039761" w:rsidR="00927FF6" w:rsidRPr="00242BC9" w:rsidRDefault="00927FF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 xml:space="preserve">АКЦИОНЕРНОЕ ОБЩЕСТВО «АЛЬФА-БАНК», Общество с ограниченной ответственностью ВТБ Капитал </w:t>
                  </w:r>
                  <w:proofErr w:type="spellStart"/>
                  <w:r w:rsidRPr="00242BC9">
                    <w:rPr>
                      <w:rFonts w:asciiTheme="minorHAnsi" w:hAnsiTheme="minorHAnsi" w:cstheme="minorHAnsi"/>
                      <w:sz w:val="20"/>
                    </w:rPr>
                    <w:t>Трейдинг</w:t>
                  </w:r>
                  <w:proofErr w:type="spellEnd"/>
                </w:p>
              </w:tc>
            </w:tr>
            <w:tr w:rsidR="00B8118C" w:rsidRPr="00242BC9" w14:paraId="6536368A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2E46A" w14:textId="77777777" w:rsidR="00B8118C" w:rsidRPr="00242BC9" w:rsidRDefault="00B8118C" w:rsidP="00B8118C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Технический андеррайтер размещения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15993" w14:textId="5C5C7DED" w:rsidR="0095354C" w:rsidRPr="00242BC9" w:rsidRDefault="00F319E3" w:rsidP="00B413C7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 xml:space="preserve">Общество с ограниченной ответственностью ВТБ Капитал </w:t>
                  </w:r>
                  <w:proofErr w:type="spellStart"/>
                  <w:r w:rsidRPr="00242BC9">
                    <w:rPr>
                      <w:rFonts w:asciiTheme="minorHAnsi" w:hAnsiTheme="minorHAnsi" w:cstheme="minorHAnsi"/>
                      <w:sz w:val="20"/>
                    </w:rPr>
                    <w:t>Трейдинг</w:t>
                  </w:r>
                  <w:proofErr w:type="spellEnd"/>
                </w:p>
              </w:tc>
            </w:tr>
            <w:tr w:rsidR="00ED3D66" w:rsidRPr="00242BC9" w14:paraId="3CFD450B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74524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Программа биржевых облигаций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45D54" w14:textId="20D3912A" w:rsidR="00ED3D66" w:rsidRPr="00242BC9" w:rsidRDefault="00ED3D66" w:rsidP="00B413C7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Програ</w:t>
                  </w:r>
                  <w:r w:rsidR="00F31DD8" w:rsidRPr="00242BC9">
                    <w:rPr>
                      <w:rFonts w:asciiTheme="minorHAnsi" w:hAnsiTheme="minorHAnsi" w:cstheme="minorHAnsi"/>
                      <w:sz w:val="20"/>
                    </w:rPr>
                    <w:t xml:space="preserve">мма биржевых облигаций серии </w:t>
                  </w:r>
                  <w:r w:rsidR="00F319E3" w:rsidRPr="00242BC9">
                    <w:rPr>
                      <w:rFonts w:asciiTheme="minorHAnsi" w:hAnsiTheme="minorHAnsi" w:cstheme="minorHAnsi"/>
                      <w:sz w:val="20"/>
                    </w:rPr>
                    <w:t>П01-БО, имеющая идентификационный номер 4-35992-H-001P-02E от 23.12.2016, в рамках которой размещается настоящий выпуск биржевых облигаций</w:t>
                  </w: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.</w:t>
                  </w:r>
                </w:p>
              </w:tc>
            </w:tr>
            <w:tr w:rsidR="00ED3D66" w:rsidRPr="00242BC9" w14:paraId="68705202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E958E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Биржевые облигации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C4B44" w14:textId="09DEB1F5" w:rsidR="00ED3D66" w:rsidRPr="00242BC9" w:rsidRDefault="00ED3D66" w:rsidP="00B413C7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Биржевые облигации процентные не</w:t>
                  </w:r>
                  <w:r w:rsidR="00366D9F" w:rsidRPr="00242BC9">
                    <w:rPr>
                      <w:rFonts w:asciiTheme="minorHAnsi" w:hAnsiTheme="minorHAnsi" w:cstheme="minorHAnsi"/>
                      <w:sz w:val="20"/>
                    </w:rPr>
                    <w:t xml:space="preserve">конвертируемые бездокументарные </w:t>
                  </w:r>
                  <w:r w:rsidR="000B4237" w:rsidRPr="00242BC9">
                    <w:rPr>
                      <w:rFonts w:asciiTheme="minorHAnsi" w:hAnsiTheme="minorHAnsi" w:cstheme="minorHAnsi"/>
                      <w:sz w:val="20"/>
                    </w:rPr>
                    <w:t xml:space="preserve">серии </w:t>
                  </w:r>
                  <w:r w:rsidR="00F319E3" w:rsidRPr="00242BC9">
                    <w:rPr>
                      <w:rFonts w:asciiTheme="minorHAnsi" w:hAnsiTheme="minorHAnsi" w:cstheme="minorHAnsi"/>
                      <w:sz w:val="20"/>
                    </w:rPr>
                    <w:t>ПБО-08</w:t>
                  </w:r>
                </w:p>
              </w:tc>
            </w:tr>
            <w:tr w:rsidR="00ED3D66" w:rsidRPr="00242BC9" w14:paraId="3013AA3B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6FC8E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Эмиссионные Документы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3A7A7" w14:textId="77777777" w:rsidR="00ED3D66" w:rsidRPr="00242BC9" w:rsidRDefault="00ED3D6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Программа биржевых облигаций, Проспект биржевых облигаций, Решение о выпуске Биржевых облигаций, Документ, содержащий основные условия размещения Биржевых облигаций</w:t>
                  </w:r>
                </w:p>
              </w:tc>
            </w:tr>
            <w:tr w:rsidR="00ED3D66" w:rsidRPr="00242BC9" w14:paraId="5631622A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656F2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Предварительная дата начала размещения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286FD" w14:textId="556CB0A4" w:rsidR="00ED3D66" w:rsidRPr="00242BC9" w:rsidRDefault="00304B66" w:rsidP="00B413C7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04</w:t>
                  </w:r>
                  <w:r w:rsidR="00F31DD8" w:rsidRPr="00242BC9">
                    <w:rPr>
                      <w:rFonts w:asciiTheme="minorHAnsi" w:hAnsiTheme="minorHAnsi" w:cstheme="minorHAnsi"/>
                      <w:sz w:val="20"/>
                    </w:rPr>
                    <w:t>.</w:t>
                  </w:r>
                  <w:r w:rsidR="00547865" w:rsidRPr="00242BC9">
                    <w:rPr>
                      <w:rFonts w:asciiTheme="minorHAnsi" w:hAnsiTheme="minorHAnsi" w:cstheme="minorHAnsi"/>
                      <w:sz w:val="20"/>
                    </w:rPr>
                    <w:t>0</w:t>
                  </w: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6</w:t>
                  </w:r>
                  <w:r w:rsidR="00BE58F3" w:rsidRPr="00242BC9">
                    <w:rPr>
                      <w:rFonts w:asciiTheme="minorHAnsi" w:hAnsiTheme="minorHAnsi" w:cstheme="minorHAnsi"/>
                      <w:sz w:val="20"/>
                    </w:rPr>
                    <w:t>.202</w:t>
                  </w:r>
                  <w:r w:rsidR="00547865" w:rsidRPr="00242BC9">
                    <w:rPr>
                      <w:rFonts w:asciiTheme="minorHAnsi" w:hAnsiTheme="minorHAnsi" w:cstheme="minorHAnsi"/>
                      <w:sz w:val="20"/>
                    </w:rPr>
                    <w:t>6</w:t>
                  </w:r>
                </w:p>
              </w:tc>
            </w:tr>
            <w:tr w:rsidR="00ED3D66" w:rsidRPr="00242BC9" w14:paraId="39414A2D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FBF52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Биржа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B935F" w14:textId="77777777" w:rsidR="00ED3D66" w:rsidRPr="00242BC9" w:rsidRDefault="00ED3D6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Публичное акционерное общество "Московская Биржа ММВБ-РТС"</w:t>
                  </w:r>
                </w:p>
              </w:tc>
            </w:tr>
            <w:tr w:rsidR="00ED3D66" w:rsidRPr="00242BC9" w14:paraId="5AF703DE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76FB3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Предложение о Покупке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4E737" w14:textId="77777777" w:rsidR="00ED3D66" w:rsidRPr="00242BC9" w:rsidRDefault="00ED3D6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Предложение (оферта) заключить предварительный договор о покупке Биржевых облигаций</w:t>
                  </w:r>
                </w:p>
              </w:tc>
            </w:tr>
            <w:tr w:rsidR="00ED3D66" w:rsidRPr="00242BC9" w14:paraId="7076BC8A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C4226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Основной договор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29839" w14:textId="77777777" w:rsidR="00ED3D66" w:rsidRPr="00242BC9" w:rsidRDefault="00ED3D6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Договор купли-продажи Биржевых облигаций</w:t>
                  </w:r>
                </w:p>
              </w:tc>
            </w:tr>
            <w:tr w:rsidR="00ED3D66" w:rsidRPr="00242BC9" w14:paraId="4A7C50C9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2BE150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Предварительный Договор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F722F" w14:textId="77777777" w:rsidR="00ED3D66" w:rsidRPr="00242BC9" w:rsidRDefault="00ED3D6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Предварительный договор, в соответствии с которым потенциальный покупатель и Эмитент обязуются заключить в дату начала размещения Биржевых облигаций Основной договор</w:t>
                  </w:r>
                </w:p>
              </w:tc>
            </w:tr>
            <w:tr w:rsidR="00ED3D66" w:rsidRPr="00242BC9" w14:paraId="3D936B3D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41573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Время Открытия книги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79BDE" w14:textId="77777777" w:rsidR="00ED3D66" w:rsidRPr="00242BC9" w:rsidRDefault="00ED3D66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 xml:space="preserve">11:00 московского времени </w:t>
                  </w:r>
                </w:p>
              </w:tc>
            </w:tr>
            <w:tr w:rsidR="00ED3D66" w:rsidRPr="00242BC9" w14:paraId="6EADA0F5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5E9F6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Дата Открытия Книги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D644D" w14:textId="61809636" w:rsidR="00ED3D66" w:rsidRPr="00242BC9" w:rsidRDefault="00B413C7" w:rsidP="00B413C7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02</w:t>
                  </w:r>
                  <w:r w:rsidR="00CD72A1" w:rsidRPr="00242BC9">
                    <w:rPr>
                      <w:rFonts w:asciiTheme="minorHAnsi" w:hAnsiTheme="minorHAnsi" w:cstheme="minorHAnsi"/>
                      <w:sz w:val="20"/>
                    </w:rPr>
                    <w:t>.</w:t>
                  </w:r>
                  <w:r w:rsidR="00547865" w:rsidRPr="00242BC9">
                    <w:rPr>
                      <w:rFonts w:asciiTheme="minorHAnsi" w:hAnsiTheme="minorHAnsi" w:cstheme="minorHAnsi"/>
                      <w:sz w:val="20"/>
                    </w:rPr>
                    <w:t>0</w:t>
                  </w:r>
                  <w:r w:rsidR="00304B66" w:rsidRPr="00242BC9">
                    <w:rPr>
                      <w:rFonts w:asciiTheme="minorHAnsi" w:hAnsiTheme="minorHAnsi" w:cstheme="minorHAnsi"/>
                      <w:sz w:val="20"/>
                    </w:rPr>
                    <w:t>6</w:t>
                  </w:r>
                  <w:r w:rsidR="006202A6" w:rsidRPr="00242BC9">
                    <w:rPr>
                      <w:rFonts w:asciiTheme="minorHAnsi" w:hAnsiTheme="minorHAnsi" w:cstheme="minorHAnsi"/>
                      <w:sz w:val="20"/>
                    </w:rPr>
                    <w:t>.</w:t>
                  </w:r>
                  <w:r w:rsidR="00FC4BC8" w:rsidRPr="00242BC9">
                    <w:rPr>
                      <w:rFonts w:asciiTheme="minorHAnsi" w:hAnsiTheme="minorHAnsi" w:cstheme="minorHAnsi"/>
                      <w:sz w:val="20"/>
                    </w:rPr>
                    <w:t>202</w:t>
                  </w:r>
                  <w:r w:rsidR="00547865" w:rsidRPr="00242BC9">
                    <w:rPr>
                      <w:rFonts w:asciiTheme="minorHAnsi" w:hAnsiTheme="minorHAnsi" w:cstheme="minorHAnsi"/>
                      <w:sz w:val="20"/>
                    </w:rPr>
                    <w:t>6</w:t>
                  </w:r>
                </w:p>
              </w:tc>
            </w:tr>
            <w:tr w:rsidR="00ED3D66" w:rsidRPr="00242BC9" w14:paraId="09B3A4B1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4BFAE" w14:textId="77777777" w:rsidR="00ED3D66" w:rsidRPr="00242BC9" w:rsidRDefault="00ED3D66" w:rsidP="00ED3D6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Время Закрытия Книги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A469C" w14:textId="5B616E44" w:rsidR="00ED3D66" w:rsidRPr="00242BC9" w:rsidRDefault="000B4237" w:rsidP="00B8118C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15</w:t>
                  </w:r>
                  <w:r w:rsidR="00ED3D66" w:rsidRPr="00242BC9">
                    <w:rPr>
                      <w:rFonts w:asciiTheme="minorHAnsi" w:hAnsiTheme="minorHAnsi" w:cstheme="minorHAnsi"/>
                      <w:sz w:val="20"/>
                    </w:rPr>
                    <w:t xml:space="preserve">:00 московского времени </w:t>
                  </w:r>
                </w:p>
              </w:tc>
            </w:tr>
            <w:tr w:rsidR="00B8118C" w:rsidRPr="00242BC9" w14:paraId="421AE3D1" w14:textId="77777777" w:rsidTr="0089094A"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1E1DB" w14:textId="77777777" w:rsidR="00B8118C" w:rsidRPr="00242BC9" w:rsidRDefault="00B8118C" w:rsidP="00B8118C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Дата Закрытия Книги</w:t>
                  </w: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27A4E" w14:textId="4F5D8315" w:rsidR="00B8118C" w:rsidRPr="00242BC9" w:rsidRDefault="00B413C7" w:rsidP="007420F2">
                  <w:pPr>
                    <w:pStyle w:val="StyleJustified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02.0</w:t>
                  </w:r>
                  <w:r w:rsidR="00304B66" w:rsidRPr="00242BC9">
                    <w:rPr>
                      <w:rFonts w:asciiTheme="minorHAnsi" w:hAnsiTheme="minorHAnsi" w:cstheme="minorHAnsi"/>
                      <w:sz w:val="20"/>
                    </w:rPr>
                    <w:t>6</w:t>
                  </w:r>
                  <w:r w:rsidR="00AA1A7A" w:rsidRPr="00242BC9">
                    <w:rPr>
                      <w:rFonts w:asciiTheme="minorHAnsi" w:hAnsiTheme="minorHAnsi" w:cstheme="minorHAnsi"/>
                      <w:sz w:val="20"/>
                    </w:rPr>
                    <w:t>.2026</w:t>
                  </w:r>
                </w:p>
              </w:tc>
            </w:tr>
          </w:tbl>
          <w:p w14:paraId="1CA2AED5" w14:textId="77777777" w:rsidR="00ED3D66" w:rsidRPr="00242BC9" w:rsidRDefault="00ED3D66" w:rsidP="00ED3D66">
            <w:pPr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  <w:p w14:paraId="1A9A661E" w14:textId="77777777" w:rsidR="000B4237" w:rsidRPr="00242BC9" w:rsidRDefault="000B4237" w:rsidP="000B42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sz w:val="20"/>
              </w:rPr>
              <w:t xml:space="preserve">ВНИМАНИЕ: ВЫ ДОЛЖНЫ ОЗНАКОМИТЬСЯ С НИЖЕИЗЛОЖЕННОЙ ИНФОРМАЦИЕЙ ДО ТОГО, КАК ПРЕДПРИНИМАТЬ КАКИЕ-ЛИБО ДЕЙСТВИЯ. </w:t>
            </w:r>
          </w:p>
          <w:p w14:paraId="304C4E03" w14:textId="77777777" w:rsidR="000B4237" w:rsidRPr="00242BC9" w:rsidRDefault="000B4237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lastRenderedPageBreak/>
              <w:t xml:space="preserve">Настоящее сообщение распространяется на приведенную ниже информацию и на Эмиссионные Документы, размещенные на сайте Эмитента (далее совместно 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«Документы»</w:t>
            </w:r>
            <w:r w:rsidRPr="00242BC9">
              <w:rPr>
                <w:rFonts w:asciiTheme="minorHAnsi" w:hAnsiTheme="minorHAnsi" w:cstheme="minorHAnsi"/>
                <w:sz w:val="20"/>
              </w:rPr>
              <w:t>), и Вам необходимо внимательно ознакомиться с положениями настоящего сообщения до того, как вы предпримете какие-либо действия в связи с такими Документами. При ознакомлении и осуществлении каких-либо действий в связи с Документами, Вы принимаете обязательство соблюдать нижеприведенные условия, включая любые изменения к таким условиям, которые могут быть получены Вами от нас как следствие Вашего ознакомления с Документами.</w:t>
            </w:r>
          </w:p>
          <w:p w14:paraId="7A599D02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5AE94059" w14:textId="77777777" w:rsidR="000B4237" w:rsidRPr="00242BC9" w:rsidRDefault="000B4237" w:rsidP="000B42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sz w:val="20"/>
              </w:rPr>
              <w:t>НАСТОЯЩЕЕ СООБЩЕНИЕ И ДОКУМЕНТЫ, ПРЕДСТАВЛЕННЫЕ ВАШЕМУ ВНИМАНИЮ, НЕ ЯВЛЯЮТСЯ ПРЕДЛОЖЕНИЕМ О ПРОДАЖЕ КАКИХ-ЛИБО ЦЕННЫХ БУМАГ.</w:t>
            </w:r>
          </w:p>
          <w:p w14:paraId="41568274" w14:textId="77777777" w:rsidR="000B4237" w:rsidRPr="00242BC9" w:rsidRDefault="000B4237" w:rsidP="000B42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ED77A1A" w14:textId="77777777" w:rsidR="000B4237" w:rsidRPr="00242BC9" w:rsidRDefault="000B4237" w:rsidP="000B42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sz w:val="20"/>
              </w:rPr>
              <w:t xml:space="preserve">НАСТОЯЩЕЕ СООБЩЕНИЕ И ДОКУМЕНТЫ НЕ МОГУТ НАПРАВЛЯТЬСЯ ИЛИ РАСПРОСТРАНЯТЬСЯ, КРОМЕ КАК В ПОРЯДКЕ, ОБОЗНАЧЕННОМ НИЖЕ, А ТАКЖЕ НЕ МОГУТ ВОСПРОИЗВОДИТЬСЯ НИКАКИМИ СПОСОБАМИ. </w:t>
            </w:r>
          </w:p>
          <w:p w14:paraId="1B7408BF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4D803DEF" w14:textId="3D228743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Ни </w:t>
            </w:r>
            <w:r w:rsidR="0012046A" w:rsidRPr="00242BC9">
              <w:rPr>
                <w:rFonts w:asciiTheme="minorHAnsi" w:hAnsiTheme="minorHAnsi" w:cstheme="minorHAnsi"/>
                <w:sz w:val="20"/>
              </w:rPr>
              <w:t>Организаторы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, ни Эмитент настоящим не делают предложения о продаже каких-либо ценных бумаг и не осуществляют действий, направленных на получение предложения о покупке каких-либо ценных бумаг в отношении любых лиц, находящихся в любой юрисдикции. Настоящее сообщение и Документы, представленные Вашему вниманию, не могут быть использованы для или в связи с подготовкой любого сообщения в любых юрисдикциях или при любых обстоятельствах, в/при которых такое подготовленное сообщение будет считаться недопустимым или незаконным. Эмитент требует от каждого лица, которое получает доступ к настоящему сообщению и Документам, изучить и соблюдать такие ограничения. Документы, представленные для Вашего ознакомления, носят исключительно информационный характер и не являются рекламой или предложением о продаже каких-либо ценных бумаг в любой стране. </w:t>
            </w:r>
          </w:p>
          <w:p w14:paraId="4BD4DCA7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4021E2E9" w14:textId="77777777" w:rsidR="000B4237" w:rsidRPr="00242BC9" w:rsidRDefault="000B4237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ВЛАДЕНИЕ БИРЖЕВЫМИ ОБЛИГАЦИЯМИ ИЛИ ДРУГИМИ ФИНАНСОВЫМИ ИНСТРУМЕНТАМИ ВСЕГДА СВЯЗАНО С РИСКАМИ.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Настоящее сообщение носит исключительно информационный характер и содержит очень ограниченную информацию об инвестировании в ценные бумаги Эмитента. Такому инвестированию должно предшествовать взвешенное решение, основанное, среди прочего, на тщательном анализе Эмитента, его аффилированных лиц, операций, финансового состояния, продаж и доходов, состояния российской экономики в целом и других риск-факторов. </w:t>
            </w:r>
          </w:p>
          <w:p w14:paraId="6F0AE23A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0F95C641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Уважаемый Инвестор,</w:t>
            </w:r>
          </w:p>
          <w:p w14:paraId="7FE376C3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54501E29" w14:textId="68A44CB0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Настоящим сообщаем Вам о возможности принять участие в размещении </w:t>
            </w:r>
            <w:r w:rsidR="00161815" w:rsidRPr="00242BC9">
              <w:rPr>
                <w:rFonts w:asciiTheme="minorHAnsi" w:hAnsiTheme="minorHAnsi" w:cstheme="minorHAnsi"/>
                <w:sz w:val="20"/>
              </w:rPr>
              <w:t>Б</w:t>
            </w:r>
            <w:r w:rsidRPr="00242BC9">
              <w:rPr>
                <w:rFonts w:asciiTheme="minorHAnsi" w:hAnsiTheme="minorHAnsi" w:cstheme="minorHAnsi"/>
                <w:sz w:val="20"/>
              </w:rPr>
              <w:t>иржевых облигаций. Настоящее сообщение является предложением делать оферты и не является офертой.</w:t>
            </w:r>
          </w:p>
          <w:p w14:paraId="20A1E689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25ADDDDC" w14:textId="77777777" w:rsidR="000B4237" w:rsidRPr="00242BC9" w:rsidRDefault="000B4237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Размещение Биржевых облигаций будет происходить путем совершения сделок купли-продажи Биржевых облигаций на Бирже. Размещение Биржевых облигаций запланировано на Предварительную дату начала размещения, но может состояться в другую дату. Окончательная дата начала размещения устанавливается (определяется) в соответствии с 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Эмиссионными Документами</w:t>
            </w:r>
            <w:r w:rsidRPr="00242BC9">
              <w:rPr>
                <w:rFonts w:asciiTheme="minorHAnsi" w:hAnsiTheme="minorHAnsi" w:cstheme="minorHAnsi"/>
                <w:sz w:val="20"/>
              </w:rPr>
              <w:t>. Биржевые облигации могут быть оплачены только денежными средствами.</w:t>
            </w:r>
          </w:p>
          <w:p w14:paraId="1A251837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1C1EC0E9" w14:textId="218CBB54" w:rsidR="000B4237" w:rsidRPr="00242BC9" w:rsidRDefault="000B4237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Вы можете принять участие в размещении Биржевых облигаций, сделав в установленном ниже порядке 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Предложение о Покупке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по установленной форме. </w:t>
            </w:r>
          </w:p>
          <w:p w14:paraId="62DB76B2" w14:textId="090FBCE2" w:rsidR="000B4237" w:rsidRPr="00242BC9" w:rsidRDefault="00161815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В случае если потенциальный покупатель не является участником торгов Биржи (далее – «Участник торгов», «Брокер»), он должен заключить соответствующий договор с любым Участником торгов, и дать ему поручение на подписание и направление в адрес Технического андеррайтера размещения 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Предложения о Покупке </w:t>
            </w:r>
            <w:r w:rsidRPr="00242BC9">
              <w:rPr>
                <w:rFonts w:asciiTheme="minorHAnsi" w:hAnsiTheme="minorHAnsi" w:cstheme="minorHAnsi"/>
                <w:sz w:val="20"/>
              </w:rPr>
              <w:t>Биржевых облигаций от имени своего Брокера. Потенциальный покупатель Биржевых облигаций, являющийся Участником торгов, действует самостоятельно.</w:t>
            </w:r>
          </w:p>
          <w:p w14:paraId="18657284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Предложение о Покупке является Вашей офертой заключить Предварительный Договор. </w:t>
            </w:r>
          </w:p>
          <w:p w14:paraId="06E7025B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67520CB6" w14:textId="6B919666" w:rsidR="000B4237" w:rsidRPr="00242BC9" w:rsidRDefault="00F1715E" w:rsidP="00F1715E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Для целей соблюдения требований к порядку размещения Биржевых облигаций, Технический андеррайтер</w:t>
            </w:r>
            <w:r w:rsidR="00100F2D" w:rsidRPr="00242BC9">
              <w:rPr>
                <w:rFonts w:asciiTheme="minorHAnsi" w:hAnsiTheme="minorHAnsi" w:cstheme="minorHAnsi"/>
                <w:sz w:val="20"/>
              </w:rPr>
              <w:t xml:space="preserve"> размещения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рассматривает только те Предложения о Покупке, которые были надлежащим образом составлены и подписаны, а также поступили к </w:t>
            </w:r>
            <w:r w:rsidR="004C0C05" w:rsidRPr="00242BC9">
              <w:rPr>
                <w:rFonts w:asciiTheme="minorHAnsi" w:hAnsiTheme="minorHAnsi" w:cstheme="minorHAnsi"/>
                <w:sz w:val="20"/>
              </w:rPr>
              <w:t>Техническому андеррайтеру размещения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в порядке и на условиях, изложенных в настоящем сообщении.</w:t>
            </w:r>
          </w:p>
          <w:p w14:paraId="51BE9009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16A89505" w14:textId="77777777" w:rsidR="000B4237" w:rsidRPr="00242BC9" w:rsidRDefault="000B4237" w:rsidP="000B423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sz w:val="20"/>
              </w:rPr>
              <w:t>Порядок Размещения и Проведения Расчетов</w:t>
            </w:r>
          </w:p>
          <w:p w14:paraId="5C699BEF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5A9005BA" w14:textId="4E52D421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lastRenderedPageBreak/>
              <w:t xml:space="preserve">Если Вы решите принять участие в размещении Биржевых облигаций, пожалуйста, подтвердите свое согласие с порядком и условиями размещения Биржевых облигаций, изложенными в Эмиссионных Документах и настоящем сообщении, путем доставки </w:t>
            </w:r>
            <w:r w:rsidR="00F1715E" w:rsidRPr="00242BC9">
              <w:rPr>
                <w:rFonts w:asciiTheme="minorHAnsi" w:hAnsiTheme="minorHAnsi" w:cstheme="minorHAnsi"/>
                <w:sz w:val="20"/>
              </w:rPr>
              <w:t>Техническому андеррайтеру</w:t>
            </w:r>
            <w:r w:rsidR="00100F2D" w:rsidRPr="00242BC9">
              <w:rPr>
                <w:rFonts w:asciiTheme="minorHAnsi" w:hAnsiTheme="minorHAnsi" w:cstheme="minorHAnsi"/>
                <w:sz w:val="20"/>
              </w:rPr>
              <w:t xml:space="preserve"> размещения</w:t>
            </w:r>
            <w:r w:rsidR="00F1715E" w:rsidRPr="00242BC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(по электронной почте) по указанному ниже адресу надлежащим образом составленного и подписанного Вами Предложения о Покупке не позднее Времени Закрытия Книги и Даты Закрытия Книги. При этом Предложение о Покупке, направляемое юридическим лицом, должно быть выполнено на бланке такого юридического лица и скреплено его печатью. Предложение о Покупке не может быть отозвано после наступления Времени Закрытия Книги и Даты Закрытия Книги. </w:t>
            </w:r>
          </w:p>
          <w:p w14:paraId="62388B9B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592E77D6" w14:textId="5547C772" w:rsidR="00F1715E" w:rsidRPr="00242BC9" w:rsidRDefault="00F1715E" w:rsidP="00F1715E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Во избежание недопонимания и каких-либо сомнений, особо обращаем Ваше внимание, что получение Техническим андеррайтером</w:t>
            </w:r>
            <w:r w:rsidR="00100F2D" w:rsidRPr="00242BC9">
              <w:rPr>
                <w:rFonts w:asciiTheme="minorHAnsi" w:hAnsiTheme="minorHAnsi" w:cstheme="minorHAnsi"/>
                <w:sz w:val="20"/>
              </w:rPr>
              <w:t xml:space="preserve"> размещения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Вашего Предложения о Покупке не означает, что оно будет акцептовано. Ни Эмитент,</w:t>
            </w:r>
            <w:r w:rsidR="0012046A" w:rsidRPr="00242BC9">
              <w:rPr>
                <w:rFonts w:asciiTheme="minorHAnsi" w:hAnsiTheme="minorHAnsi" w:cstheme="minorHAnsi"/>
                <w:sz w:val="20"/>
              </w:rPr>
              <w:t xml:space="preserve"> ни Организаторы,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ни </w:t>
            </w:r>
            <w:r w:rsidR="0064599A" w:rsidRPr="00242BC9">
              <w:rPr>
                <w:rFonts w:asciiTheme="minorHAnsi" w:hAnsiTheme="minorHAnsi" w:cstheme="minorHAnsi"/>
                <w:sz w:val="20"/>
              </w:rPr>
              <w:t>Технический а</w:t>
            </w:r>
            <w:r w:rsidRPr="00242BC9">
              <w:rPr>
                <w:rFonts w:asciiTheme="minorHAnsi" w:hAnsiTheme="minorHAnsi" w:cstheme="minorHAnsi"/>
                <w:sz w:val="20"/>
              </w:rPr>
              <w:t>ндеррайтер</w:t>
            </w:r>
            <w:r w:rsidR="00100F2D" w:rsidRPr="00242BC9">
              <w:rPr>
                <w:rFonts w:asciiTheme="minorHAnsi" w:hAnsiTheme="minorHAnsi" w:cstheme="minorHAnsi"/>
                <w:sz w:val="20"/>
              </w:rPr>
              <w:t xml:space="preserve"> размещения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не принимают на себя никаких обязательств и не дают никаких заверений или гарантий относительно того, что Ваше Предложение о Покупке будет акцептовано по</w:t>
            </w:r>
            <w:r w:rsidR="00100F2D" w:rsidRPr="00242BC9">
              <w:rPr>
                <w:rFonts w:asciiTheme="minorHAnsi" w:hAnsiTheme="minorHAnsi" w:cstheme="minorHAnsi"/>
                <w:sz w:val="20"/>
              </w:rPr>
              <w:t>лностью или в какой-либо части.</w:t>
            </w:r>
          </w:p>
          <w:p w14:paraId="68265C90" w14:textId="37B59D33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22B9FAE6" w14:textId="7C4DB753" w:rsidR="000B4237" w:rsidRPr="00242BC9" w:rsidRDefault="00100F2D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После определения размера значения надбавки - спреда (S) к значению Ключевой ставки Банка России по Биржевым облигациям</w:t>
            </w:r>
            <w:r w:rsidR="000B4237" w:rsidRPr="00242BC9">
              <w:rPr>
                <w:rFonts w:asciiTheme="minorHAnsi" w:hAnsiTheme="minorHAnsi" w:cstheme="minorHAnsi"/>
                <w:sz w:val="20"/>
              </w:rPr>
              <w:t xml:space="preserve"> и до даты истечения срока Предложения о Покупке Эмитент принимает решение об акцепте или отклонении Вашего Предложения о Покупке. Только в случае если будет принято решение об акцепте Вашего Предложения о Покупке, Технический андеррайтер размещения, направит Вам (по электронной почте) письменное уведомление об акцепте (далее </w:t>
            </w:r>
            <w:r w:rsidR="000B4237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«Уведомление об Акцепте»</w:t>
            </w:r>
            <w:r w:rsidR="000B4237" w:rsidRPr="00242BC9">
              <w:rPr>
                <w:rFonts w:asciiTheme="minorHAnsi" w:hAnsiTheme="minorHAnsi" w:cstheme="minorHAnsi"/>
                <w:sz w:val="20"/>
              </w:rPr>
              <w:t xml:space="preserve">) Вашего Предложения о Покупке по электронной почте, указанные в Вашем Предложении о Покупке. В случае направления Уведомления об Акцепте по электронной почте, оно считается полученным Вами в момент его отправки. В случае если Эмитентом будет принято решение об отклонении Вашего Предложения о Покупке, или Эмитентом не будет рассмотрено Ваше Предложение о Покупке, или по нему не будет принято какое-либо решение, </w:t>
            </w:r>
            <w:r w:rsidR="000B4237" w:rsidRPr="00242BC9">
              <w:rPr>
                <w:rFonts w:asciiTheme="minorHAnsi" w:hAnsiTheme="minorHAnsi" w:cstheme="minorHAnsi"/>
                <w:sz w:val="20"/>
                <w:lang w:val="x-none"/>
              </w:rPr>
              <w:t>Технический андеррайтер размещения</w:t>
            </w:r>
            <w:r w:rsidR="000B4237" w:rsidRPr="00242BC9">
              <w:rPr>
                <w:rFonts w:asciiTheme="minorHAnsi" w:hAnsiTheme="minorHAnsi" w:cstheme="minorHAnsi"/>
                <w:sz w:val="20"/>
              </w:rPr>
              <w:t xml:space="preserve"> не будет направлять Вам уведомление об этом и Ваше Предложение о Покупке считается неакцептованным и утрачивает силу оферты с </w:t>
            </w:r>
            <w:r w:rsidR="00161815" w:rsidRPr="00242BC9">
              <w:rPr>
                <w:rFonts w:asciiTheme="minorHAnsi" w:hAnsiTheme="minorHAnsi" w:cstheme="minorHAnsi"/>
                <w:sz w:val="20"/>
              </w:rPr>
              <w:t xml:space="preserve">даты следующей за Датой </w:t>
            </w:r>
            <w:r w:rsidR="000B4237" w:rsidRPr="00242BC9">
              <w:rPr>
                <w:rFonts w:asciiTheme="minorHAnsi" w:hAnsiTheme="minorHAnsi" w:cstheme="minorHAnsi"/>
                <w:sz w:val="20"/>
              </w:rPr>
              <w:t>Закрытия Книги. Тот факт, что Вам не будет направлено такое уведомление, не означает, что Ваше Предложение о Покупке было акцептовано (молчание не является акцептом).</w:t>
            </w:r>
          </w:p>
          <w:p w14:paraId="53DB0353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5CACD547" w14:textId="321AA5AE" w:rsidR="00100F2D" w:rsidRPr="00242BC9" w:rsidRDefault="00100F2D" w:rsidP="004F662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ВНИМАНИЕ! АКЦЕПТ ВАШЕГО ПРЕДЛОЖЕНИЯ О ПОКУПКЕ ОЗНАЧАЕТ ЗАКЛЮЧЕНИЕ ПРЕДВАРИТЕЛЬНОГО ДОГОВОРА, В СООТВЕТСТВИИ С КОТОРЫМ ВЫ И ЭМИТЕНТ ОБЯЗУЕТЕСЬ ЗАКЛЮЧИТЬ В ДАТУ НАЧАЛА РАЗМЕЩЕНИЯ БИРЖЕВЫХ ОБЛИГАЦИЙ ОСНОВНОЙ ДОГОВОР НА СЛЕДУЮЩИХ УСЛОВИЯХ: ЭМИТЕНТ ОБЯЗУЕТСЯ ПРОДАТЬ ВАМ, А ВЫ ОБЯЗУЕТЕСЬ ПРИОБРЕСТИ У ЭМИТЕНТА (ИЛИ НАЗНАЧЕННОГО ЭМИТЕНТОМ КОМИССИОНЕРА, ПОВЕРЕННОГО ИЛИ ДРУГОГО АГЕНТА) И ОПЛАТИТЬ БИРЖЕВЫЕ ОБЛИГАЦИИ В КОЛИЧЕСТВЕ, ПО ЦЕНЕ РАЗМЕЩЕНИЯ И С УЧЕТОМ ОПРЕДЕЛЕННОГО ЭМИТЕНТОМ ЗНАЧЕНИЯ НАДБАВКИ - СПРЕДА (S) К ЗНАЧЕНИЮ КЛЮЧЕВОЙ СТАВКИ БАНКА РОССИИ, УКАЗАННЫМ В УВЕДОМЛЕНИИ ОБ АКЦЕПТЕ. ПРИ ЭТОМ КОЛИЧЕСТВО БИРЖЕВЫХ ОБЛИГАЦИЙ, УКАЗАННОЕ В УВЕДОМЛЕНИИ ОБ АКЦЕПТЕ, БУДЕТ ЗАВИСЕТЬ ОТ ЦЕНЫ РАЗМЕЩЕНИЯ, ОПРЕДЕЛЕННОГО ЭМИТЕНТОМ ЗНАЧЕНИЯ НАДБАВКИ - СПРЕДА (S) К ЗНАЧЕНИЮ КЛЮЧЕВОЙ СТАВКИ БАНКА РОССИИ И РЫНОЧНОГО СПРОСА НА БИРЖЕВЫЕ ОБЛИГАЦИИ. ВАШЕ ПРЕДЛОЖЕНИЕ О ПОКУПКЕ МОЖЕТ БЫТЬ АКЦЕПТОВАНО ПОЛНОСТЬЮ ИЛИ В ЧАСТИ. ЕСЛИ ВАШЕ ПРЕДЛОЖЕНИЕ О ПОКУПКЕ БУДЕТ АКЦЕПТОВАНО В ЧАСТИ, ПРЕДВАРИТЕЛЬНЫЙ ДОГОВОР СЧИТАЕТСЯ ЗАКЛЮЧЕННЫМ ТОЛЬКО В ОТНОШЕНИИ ТАКОЙ ЧАСТИ ВАШЕГО ПРЕДЛОЖЕНИЯ О ПОКУПКЕ, КОТОРАЯ БУДЕТ УКАЗАНА В УВЕДОМЛЕНИИ ОБ АКЦЕПТЕ. В УВЕДОМЛЕНИИ ОБ АКЦЕПТЕ БУДЕТ УКАЗАНО КОЛИЧЕСТВО БИРЖЕВЫХ ОБЛИГАЦИЙ, РАССЧИТАННОЕ НА ОСНОВЕ ЦЕНЫ РАЗМЕЩЕНИЯ, А ТАКЖЕ СООТВЕТСТВУЮЩЕЙ ЧАСТИ СУММЫ ДЕНЕЖНЫХ СРЕДСТВ, УКАЗАННОЙ В ВАШЕМ ПРЕДЛОЖЕНИИ О ПОКУПКЕ КАК МАКСИМАЛЬНОЙ СУММ</w:t>
            </w:r>
            <w:r w:rsidR="00384806" w:rsidRPr="00242BC9">
              <w:rPr>
                <w:rFonts w:asciiTheme="minorHAnsi" w:hAnsiTheme="minorHAnsi" w:cstheme="minorHAnsi"/>
                <w:sz w:val="20"/>
              </w:rPr>
              <w:t>Е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 ДЕНЕЖНЫХ СРЕДСТВ, НА КОТОРУЮ ВЫ ГОТОВЫ КУПИТЬ БИРЖЕВЫЕ ОБЛИГАЦИИ. ПОРЯДОК ЗАКЛЮЧЕНИЯ ОСНОВНОГО ДОГОВОРА (ПОРЯДОК РАЗМЕЩЕНИЯ БИРЖЕВЫХ ОБЛИГАЦИЙ), ДАТА НАЧАЛА РАЗМЕЩЕНИЯ БИРЖЕВЫХ ОБЛИГАЦИЙ, ЦЕНА РАЗМЕЩЕНИЯ, ЗНАЧЕНИЕ НАДБАВКИ - СПРЕДА (S) К ЗНАЧЕНИЮ КЛЮЧЕВОЙ СТАВКИ БАНКА РОССИИ, ПОРЯДОК</w:t>
            </w:r>
            <w:r w:rsidR="004F662D" w:rsidRPr="00242BC9">
              <w:rPr>
                <w:rFonts w:asciiTheme="minorHAnsi" w:hAnsiTheme="minorHAnsi" w:cstheme="minorHAnsi"/>
                <w:sz w:val="20"/>
              </w:rPr>
              <w:t xml:space="preserve"> ОПРЕДЕЛЕНИЯ СТАВОК ПО КУПОНАМ </w:t>
            </w:r>
            <w:r w:rsidRPr="00242BC9">
              <w:rPr>
                <w:rFonts w:asciiTheme="minorHAnsi" w:hAnsiTheme="minorHAnsi" w:cstheme="minorHAnsi"/>
                <w:sz w:val="20"/>
              </w:rPr>
              <w:t>ПО БИРЖЕВЫМ ОБЛИГАЦИЯМ И ПОРЯДОК ПРОВЕДЕНИЯ РАСЧЕТОВ УСТАНАВЛИВАЮТСЯ (ОПРЕДЕЛЯЮТСЯ) В СООТВЕТСТВИИ С ЭМИССИОННЫМИ ДОКУМЕНТАМИ.</w:t>
            </w:r>
          </w:p>
          <w:p w14:paraId="79A6DEF8" w14:textId="77777777" w:rsidR="000B4237" w:rsidRPr="00242BC9" w:rsidRDefault="000B4237" w:rsidP="000B4237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1C4BDCB" w14:textId="77777777" w:rsidR="000B4237" w:rsidRPr="00242BC9" w:rsidRDefault="000B4237" w:rsidP="004D1CAB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Настоящее сообщение, Предложение о Покупке и Уведомление об Акцепте составляют в совокупности Предварительный Договор.</w:t>
            </w:r>
          </w:p>
          <w:p w14:paraId="43B1C53A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15E8098E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Все споры, связанные с заключением Предварительного Договора, его действительностью и исполнением, разрешаются в Арбитражном суде г. Москвы.</w:t>
            </w:r>
          </w:p>
          <w:p w14:paraId="01C34B01" w14:textId="77777777" w:rsidR="000B4237" w:rsidRPr="00242BC9" w:rsidRDefault="000B4237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6796005A" w14:textId="2B46F61A" w:rsidR="00161815" w:rsidRPr="00242BC9" w:rsidRDefault="00161815" w:rsidP="00161815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В случае Вашего согласия с вышеизложенными условиями и порядком участия в размещении Биржевых облигаций, Вы можете направить Предложение о Покупке Техническому андеррайтеру размещения.</w:t>
            </w:r>
          </w:p>
          <w:p w14:paraId="45A923EC" w14:textId="77777777" w:rsidR="00ED3D66" w:rsidRPr="00242BC9" w:rsidRDefault="00ED3D66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04D3F685" w14:textId="77777777" w:rsidR="00ED3D66" w:rsidRPr="00242BC9" w:rsidRDefault="00ED3D66" w:rsidP="00B8118C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С уважением,</w:t>
            </w:r>
          </w:p>
          <w:p w14:paraId="1F323DB4" w14:textId="68E636E6" w:rsidR="00ED3D66" w:rsidRPr="00242BC9" w:rsidRDefault="00F85B53" w:rsidP="00ED3D6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lastRenderedPageBreak/>
              <w:t>акционерное общество «Трансмашхолдинг»</w:t>
            </w:r>
          </w:p>
          <w:p w14:paraId="62D4F490" w14:textId="77777777" w:rsidR="00F85B53" w:rsidRPr="00242BC9" w:rsidRDefault="00F85B53" w:rsidP="00ED3D66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575F1F6" w14:textId="77777777" w:rsidR="00ED3D66" w:rsidRPr="00242BC9" w:rsidRDefault="00ED3D66" w:rsidP="00ED3D66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42BC9">
              <w:rPr>
                <w:rFonts w:asciiTheme="minorHAnsi" w:hAnsiTheme="minorHAnsi" w:cstheme="minorHAnsi"/>
                <w:color w:val="000000"/>
                <w:sz w:val="20"/>
              </w:rPr>
              <w:t>Форма предложения заключить предварительный договор о покупке Биржевых облигаций (Предложение о покупке):</w:t>
            </w:r>
          </w:p>
          <w:p w14:paraId="78D066D2" w14:textId="6E8DAC0E" w:rsidR="00ED3D66" w:rsidRPr="00242BC9" w:rsidRDefault="00161815" w:rsidP="00B413C7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42BC9">
              <w:rPr>
                <w:rFonts w:asciiTheme="minorHAnsi" w:hAnsiTheme="minorHAnsi" w:cstheme="minorHAnsi"/>
                <w:color w:val="000000"/>
                <w:sz w:val="20"/>
              </w:rPr>
              <w:t>В случае если потенциальный покупатель не является участником торгов Биржи (далее – «Участник торгов», «Брокер»), он должен заключить соответствующий договор с любым Участником торгов, и дать ему поручение на подписание и направление в адрес Технического андеррайтера</w:t>
            </w:r>
            <w:r w:rsidR="00100F2D" w:rsidRPr="00242BC9">
              <w:rPr>
                <w:rFonts w:asciiTheme="minorHAnsi" w:hAnsiTheme="minorHAnsi" w:cstheme="minorHAnsi"/>
                <w:color w:val="000000"/>
                <w:sz w:val="20"/>
              </w:rPr>
              <w:t xml:space="preserve"> размещения</w:t>
            </w:r>
            <w:r w:rsidRPr="00242BC9">
              <w:rPr>
                <w:rFonts w:asciiTheme="minorHAnsi" w:hAnsiTheme="minorHAnsi" w:cstheme="minorHAnsi"/>
                <w:color w:val="000000"/>
                <w:sz w:val="20"/>
              </w:rPr>
              <w:t xml:space="preserve"> Предложения о Покупке Биржевых облигаций от имени своего Брокера. Потенциальный покупатель Биржевых облигаций, являющийся Участником торгов, действует самостоятельно.</w:t>
            </w:r>
          </w:p>
          <w:p w14:paraId="4D415602" w14:textId="77777777" w:rsidR="007B473F" w:rsidRPr="00242BC9" w:rsidRDefault="007B473F" w:rsidP="00161815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4BD315BD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[НА БЛАНКЕ ПОТЕНЦИАЛЬНОГО ПОКУПАТЕЛЯ/БРОКЕРА]</w:t>
            </w:r>
          </w:p>
          <w:p w14:paraId="7BF5D86F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217D264B" w14:textId="77777777" w:rsidR="00B413C7" w:rsidRPr="00242BC9" w:rsidRDefault="00B413C7" w:rsidP="00B413C7">
            <w:pPr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Дата:</w:t>
            </w:r>
          </w:p>
          <w:p w14:paraId="4C1173C3" w14:textId="77777777" w:rsidR="00F85B53" w:rsidRPr="00242BC9" w:rsidRDefault="00F85B53" w:rsidP="00F85B53">
            <w:pPr>
              <w:jc w:val="both"/>
              <w:rPr>
                <w:rFonts w:asciiTheme="minorHAnsi" w:eastAsia="Calibri" w:hAnsiTheme="minorHAnsi" w:cstheme="minorHAnsi"/>
                <w:sz w:val="20"/>
              </w:rPr>
            </w:pPr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ООО ВТБ Капитал </w:t>
            </w:r>
            <w:proofErr w:type="spellStart"/>
            <w:r w:rsidRPr="00242BC9">
              <w:rPr>
                <w:rFonts w:asciiTheme="minorHAnsi" w:eastAsia="Calibri" w:hAnsiTheme="minorHAnsi" w:cstheme="minorHAnsi"/>
                <w:sz w:val="20"/>
              </w:rPr>
              <w:t>Трейдинг</w:t>
            </w:r>
            <w:proofErr w:type="spellEnd"/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</w:p>
          <w:p w14:paraId="5492E5D1" w14:textId="77777777" w:rsidR="00F85B53" w:rsidRPr="00242BC9" w:rsidRDefault="00F85B53" w:rsidP="00F85B53">
            <w:pPr>
              <w:jc w:val="both"/>
              <w:rPr>
                <w:rFonts w:asciiTheme="minorHAnsi" w:eastAsia="Calibri" w:hAnsiTheme="minorHAnsi" w:cstheme="minorHAnsi"/>
                <w:sz w:val="20"/>
              </w:rPr>
            </w:pPr>
            <w:r w:rsidRPr="00242BC9">
              <w:rPr>
                <w:rFonts w:asciiTheme="minorHAnsi" w:eastAsia="Calibri" w:hAnsiTheme="minorHAnsi" w:cstheme="minorHAnsi"/>
                <w:sz w:val="20"/>
              </w:rPr>
              <w:t>Вниманию: Дирекции продаж облигаций</w:t>
            </w:r>
          </w:p>
          <w:p w14:paraId="1A275CD9" w14:textId="1F1E4CA2" w:rsidR="00B413C7" w:rsidRPr="00242BC9" w:rsidRDefault="00F85B53" w:rsidP="00F85B53">
            <w:pPr>
              <w:pStyle w:val="StyleJustified"/>
              <w:rPr>
                <w:rFonts w:asciiTheme="minorHAnsi" w:eastAsia="Calibri" w:hAnsiTheme="minorHAnsi" w:cstheme="minorHAnsi"/>
                <w:sz w:val="20"/>
              </w:rPr>
            </w:pPr>
            <w:r w:rsidRPr="00242BC9">
              <w:rPr>
                <w:rFonts w:asciiTheme="minorHAnsi" w:eastAsia="Calibri" w:hAnsiTheme="minorHAnsi" w:cstheme="minorHAnsi"/>
                <w:sz w:val="20"/>
              </w:rPr>
              <w:t>E-</w:t>
            </w:r>
            <w:proofErr w:type="spellStart"/>
            <w:r w:rsidRPr="00242BC9">
              <w:rPr>
                <w:rFonts w:asciiTheme="minorHAnsi" w:eastAsia="Calibri" w:hAnsiTheme="minorHAnsi" w:cstheme="minorHAnsi"/>
                <w:sz w:val="20"/>
              </w:rPr>
              <w:t>mail</w:t>
            </w:r>
            <w:proofErr w:type="spellEnd"/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: </w:t>
            </w:r>
            <w:hyperlink r:id="rId9" w:history="1">
              <w:r w:rsidRPr="00242BC9">
                <w:rPr>
                  <w:rStyle w:val="af0"/>
                  <w:rFonts w:asciiTheme="minorHAnsi" w:eastAsia="Calibri" w:hAnsiTheme="minorHAnsi" w:cstheme="minorHAnsi"/>
                  <w:sz w:val="20"/>
                </w:rPr>
                <w:t>bonds@vtbcapital.ru</w:t>
              </w:r>
            </w:hyperlink>
          </w:p>
          <w:p w14:paraId="5FD02CD8" w14:textId="77777777" w:rsidR="00F85B53" w:rsidRPr="00242BC9" w:rsidRDefault="00F85B53" w:rsidP="00F85B53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7321B04B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ОФЕРТА О ЗАКЛЮЧЕНИИ ПРЕДВАРИТЕЛЬНОГО ДОГОВОРА КУПЛИ-ПРОДАЖИ</w:t>
            </w:r>
          </w:p>
          <w:p w14:paraId="6E7527AD" w14:textId="77777777" w:rsidR="00B413C7" w:rsidRPr="00242BC9" w:rsidRDefault="00B413C7" w:rsidP="00B413C7">
            <w:pPr>
              <w:jc w:val="both"/>
              <w:rPr>
                <w:rFonts w:asciiTheme="minorHAnsi" w:eastAsia="Calibri" w:hAnsiTheme="minorHAnsi" w:cstheme="minorHAnsi"/>
                <w:sz w:val="20"/>
              </w:rPr>
            </w:pPr>
          </w:p>
          <w:p w14:paraId="1F80108F" w14:textId="00BA10BE" w:rsidR="00B413C7" w:rsidRPr="00242BC9" w:rsidRDefault="00B413C7" w:rsidP="00B413C7">
            <w:pPr>
              <w:jc w:val="both"/>
              <w:rPr>
                <w:rFonts w:asciiTheme="minorHAnsi" w:eastAsia="Calibri" w:hAnsiTheme="minorHAnsi" w:cstheme="minorHAnsi"/>
                <w:sz w:val="20"/>
              </w:rPr>
            </w:pPr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Мы ознакомились с условиями и порядком участия в размещении биржевых облигаций процентных бездокументарных неконвертируемых серии </w:t>
            </w:r>
            <w:r w:rsidR="00F733FE" w:rsidRPr="00242BC9">
              <w:rPr>
                <w:rFonts w:asciiTheme="minorHAnsi" w:eastAsia="Calibri" w:hAnsiTheme="minorHAnsi" w:cstheme="minorHAnsi"/>
                <w:sz w:val="20"/>
              </w:rPr>
              <w:t>ПБО-08</w:t>
            </w:r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="00F733FE" w:rsidRPr="00242BC9">
              <w:rPr>
                <w:rFonts w:asciiTheme="minorHAnsi" w:eastAsia="Calibri" w:hAnsiTheme="minorHAnsi" w:cstheme="minorHAnsi"/>
                <w:sz w:val="20"/>
              </w:rPr>
              <w:t>акционерного общества «Трансмашхолдинг»</w:t>
            </w:r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, </w:t>
            </w:r>
            <w:r w:rsidR="00F733FE" w:rsidRPr="00242BC9">
              <w:rPr>
                <w:rFonts w:asciiTheme="minorHAnsi" w:eastAsia="Calibri" w:hAnsiTheme="minorHAnsi" w:cstheme="minorHAnsi"/>
                <w:sz w:val="20"/>
              </w:rPr>
              <w:t>регистрационный номер выпуска 4B02-08-35992-H-001P от 01.06.2026</w:t>
            </w:r>
            <w:r w:rsidRPr="00242BC9">
              <w:rPr>
                <w:rFonts w:asciiTheme="minorHAnsi" w:eastAsia="Calibri" w:hAnsiTheme="minorHAnsi" w:cstheme="minorHAnsi"/>
                <w:sz w:val="20"/>
              </w:rPr>
              <w:t xml:space="preserve"> (далее – «Биржевые облигации»).</w:t>
            </w:r>
          </w:p>
          <w:p w14:paraId="0F080968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p w14:paraId="425D8AE3" w14:textId="574D6EA2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Тщательно проанализировав финансовые, экономические, юридические и иные риски и последствия приобретения и владения Биржевыми облигациями, мы, [</w:t>
            </w:r>
            <w:r w:rsidRPr="00242BC9">
              <w:rPr>
                <w:rFonts w:asciiTheme="minorHAnsi" w:hAnsiTheme="minorHAnsi" w:cstheme="minorHAnsi"/>
                <w:i/>
                <w:iCs/>
                <w:sz w:val="20"/>
              </w:rPr>
              <w:t>пожалуйста, укажите свое полное наименование</w:t>
            </w:r>
            <w:r w:rsidRPr="00242BC9">
              <w:rPr>
                <w:rFonts w:asciiTheme="minorHAnsi" w:hAnsiTheme="minorHAnsi" w:cstheme="minorHAnsi"/>
                <w:sz w:val="20"/>
              </w:rPr>
              <w:t>], [действующие как доверительный управляющий</w:t>
            </w:r>
            <w:r w:rsidRPr="00242BC9">
              <w:rPr>
                <w:rFonts w:asciiTheme="minorHAnsi" w:hAnsiTheme="minorHAnsi" w:cstheme="minorHAnsi"/>
                <w:i/>
                <w:iCs/>
                <w:sz w:val="20"/>
              </w:rPr>
              <w:t xml:space="preserve"> (для управляющих компаний)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], настоящим обязуемся заключить в дату начала размещения Биржевых облигаций, но в любом случае не позднее 3 (Третьего) рабочего дня с даты начала размещения основные договоры купли-продажи о приобретении нами Биржевых облигаций у </w:t>
            </w:r>
            <w:r w:rsidR="00DF72D5" w:rsidRPr="00242BC9">
              <w:rPr>
                <w:rFonts w:asciiTheme="minorHAnsi" w:eastAsia="Calibri" w:hAnsiTheme="minorHAnsi" w:cstheme="minorHAnsi"/>
                <w:sz w:val="20"/>
              </w:rPr>
              <w:t xml:space="preserve">ООО ВТБ Капитал </w:t>
            </w:r>
            <w:proofErr w:type="spellStart"/>
            <w:r w:rsidR="00DF72D5" w:rsidRPr="00242BC9">
              <w:rPr>
                <w:rFonts w:asciiTheme="minorHAnsi" w:eastAsia="Calibri" w:hAnsiTheme="minorHAnsi" w:cstheme="minorHAnsi"/>
                <w:sz w:val="20"/>
              </w:rPr>
              <w:t>Трейдинг</w:t>
            </w:r>
            <w:proofErr w:type="spellEnd"/>
            <w:r w:rsidRPr="00242BC9">
              <w:rPr>
                <w:rFonts w:asciiTheme="minorHAnsi" w:hAnsiTheme="minorHAnsi" w:cstheme="minorHAnsi"/>
                <w:sz w:val="20"/>
              </w:rPr>
              <w:t>, оказывающего услуги по размещению Биржевых облигаций и действующего по поручению и за счет эмитента Биржевых облигаций, в соответствии с эмиссионными документами на следующих условиях:</w:t>
            </w:r>
          </w:p>
          <w:p w14:paraId="19A5F179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45"/>
              <w:gridCol w:w="5184"/>
            </w:tblGrid>
            <w:tr w:rsidR="00B413C7" w:rsidRPr="00242BC9" w14:paraId="61EC24F9" w14:textId="77777777" w:rsidTr="007A0582">
              <w:trPr>
                <w:jc w:val="center"/>
              </w:trPr>
              <w:tc>
                <w:tcPr>
                  <w:tcW w:w="2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D5B9E" w14:textId="77777777" w:rsidR="00B413C7" w:rsidRPr="00242BC9" w:rsidRDefault="00B413C7" w:rsidP="00583A90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Максимальная сумма, на которую мы готовы купить Биржевые облигации (рубли РФ)*</w:t>
                  </w:r>
                </w:p>
              </w:tc>
              <w:tc>
                <w:tcPr>
                  <w:tcW w:w="25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079C3" w14:textId="77777777" w:rsidR="00B413C7" w:rsidRPr="00242BC9" w:rsidRDefault="00B413C7" w:rsidP="00583A90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[пожалуйста, укажите]</w:t>
                  </w:r>
                </w:p>
              </w:tc>
            </w:tr>
            <w:tr w:rsidR="00B413C7" w:rsidRPr="00242BC9" w14:paraId="084EA511" w14:textId="77777777" w:rsidTr="007A0582">
              <w:trPr>
                <w:jc w:val="center"/>
              </w:trPr>
              <w:tc>
                <w:tcPr>
                  <w:tcW w:w="2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35D78" w14:textId="77777777" w:rsidR="00B413C7" w:rsidRPr="00242BC9" w:rsidRDefault="00B413C7" w:rsidP="00583A90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Минимальное значение спреда (S) к значению Ключевой ставки Банка России, при которой мы готовы купить Биржевые облигации, в процентах годовых</w:t>
                  </w:r>
                </w:p>
              </w:tc>
              <w:tc>
                <w:tcPr>
                  <w:tcW w:w="25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5857C" w14:textId="77777777" w:rsidR="00B413C7" w:rsidRPr="00242BC9" w:rsidRDefault="00B413C7" w:rsidP="00583A90">
                  <w:pPr>
                    <w:jc w:val="both"/>
                    <w:rPr>
                      <w:rFonts w:asciiTheme="minorHAnsi" w:hAnsiTheme="minorHAnsi" w:cstheme="minorHAnsi"/>
                      <w:sz w:val="20"/>
                    </w:rPr>
                  </w:pPr>
                  <w:r w:rsidRPr="00242BC9">
                    <w:rPr>
                      <w:rFonts w:asciiTheme="minorHAnsi" w:hAnsiTheme="minorHAnsi" w:cstheme="minorHAnsi"/>
                      <w:sz w:val="20"/>
                    </w:rPr>
                    <w:t>[пожалуйста, укажите]</w:t>
                  </w:r>
                </w:p>
              </w:tc>
            </w:tr>
          </w:tbl>
          <w:p w14:paraId="4C1F276F" w14:textId="77777777" w:rsidR="00B413C7" w:rsidRPr="00242BC9" w:rsidRDefault="00B413C7" w:rsidP="00B413C7">
            <w:pPr>
              <w:rPr>
                <w:rFonts w:asciiTheme="minorHAnsi" w:eastAsia="Calibri" w:hAnsiTheme="minorHAnsi" w:cstheme="minorHAnsi"/>
                <w:i/>
                <w:sz w:val="20"/>
              </w:rPr>
            </w:pPr>
            <w:r w:rsidRPr="00242BC9">
              <w:rPr>
                <w:rFonts w:asciiTheme="minorHAnsi" w:eastAsia="Calibri" w:hAnsiTheme="minorHAnsi" w:cstheme="minorHAnsi"/>
                <w:i/>
                <w:sz w:val="20"/>
              </w:rPr>
              <w:t>* Данная сумма не включает расходы, связанные с приобретением Биржевых облигаций и проведением расчетов.</w:t>
            </w:r>
          </w:p>
          <w:p w14:paraId="35012A72" w14:textId="509A199D" w:rsidR="00B413C7" w:rsidRPr="00242BC9" w:rsidRDefault="00B413C7" w:rsidP="00B413C7">
            <w:pPr>
              <w:rPr>
                <w:rFonts w:asciiTheme="minorHAnsi" w:hAnsiTheme="minorHAnsi" w:cstheme="minorHAnsi"/>
                <w:sz w:val="20"/>
              </w:rPr>
            </w:pPr>
          </w:p>
          <w:p w14:paraId="08C61DED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Обращаем Ваше внимание, что Участником торгов ПАО Московская Биржа, выставляющим заявки на покупку Биржевых облигаций по нашему поручению, будет выступать [</w:t>
            </w:r>
            <w:r w:rsidRPr="00242BC9">
              <w:rPr>
                <w:rFonts w:asciiTheme="minorHAnsi" w:hAnsiTheme="minorHAnsi" w:cstheme="minorHAnsi"/>
                <w:i/>
                <w:iCs/>
                <w:sz w:val="20"/>
              </w:rPr>
              <w:t>пожалуйста, укажите название своего брокера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] (для Покупателей, работающих через брокера). </w:t>
            </w:r>
          </w:p>
          <w:p w14:paraId="3376BDA7" w14:textId="77777777" w:rsidR="00B413C7" w:rsidRPr="00242BC9" w:rsidRDefault="00B413C7" w:rsidP="00B413C7">
            <w:pPr>
              <w:rPr>
                <w:rFonts w:asciiTheme="minorHAnsi" w:hAnsiTheme="minorHAnsi" w:cstheme="minorHAnsi"/>
                <w:sz w:val="20"/>
              </w:rPr>
            </w:pPr>
          </w:p>
          <w:p w14:paraId="6D567E1E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Настоящая оферта действительна до даты начала размещения Биржевых облигаций (включительно).</w:t>
            </w:r>
          </w:p>
          <w:p w14:paraId="2A31258F" w14:textId="77777777" w:rsidR="00B413C7" w:rsidRPr="00242BC9" w:rsidRDefault="00B413C7" w:rsidP="00B413C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В случае акцепта, просим направить Уведомление об акцепте данной оферты по следующим координатам: для отправки по электронной почте: [укажите электронный адрес ответственного сотрудника Вашего офиса].</w:t>
            </w:r>
          </w:p>
          <w:p w14:paraId="3A7A9EB7" w14:textId="77777777" w:rsidR="00B413C7" w:rsidRPr="00242BC9" w:rsidRDefault="00B413C7" w:rsidP="00B413C7">
            <w:pPr>
              <w:rPr>
                <w:rFonts w:asciiTheme="minorHAnsi" w:hAnsiTheme="minorHAnsi" w:cstheme="minorHAnsi"/>
                <w:sz w:val="20"/>
              </w:rPr>
            </w:pPr>
          </w:p>
          <w:p w14:paraId="0D279C10" w14:textId="77777777" w:rsidR="00B413C7" w:rsidRPr="00242BC9" w:rsidRDefault="00B413C7" w:rsidP="00B413C7">
            <w:pPr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С уважением, </w:t>
            </w:r>
          </w:p>
          <w:p w14:paraId="439AD386" w14:textId="7EB32607" w:rsidR="00B413C7" w:rsidRPr="00242BC9" w:rsidRDefault="00583A90" w:rsidP="00B413C7">
            <w:pPr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__________________ </w:t>
            </w:r>
            <w:r w:rsidR="00B413C7" w:rsidRPr="00242BC9">
              <w:rPr>
                <w:rFonts w:asciiTheme="minorHAnsi" w:hAnsiTheme="minorHAnsi" w:cstheme="minorHAnsi"/>
                <w:sz w:val="20"/>
              </w:rPr>
              <w:t>/ФИО, Должность/</w:t>
            </w:r>
          </w:p>
          <w:p w14:paraId="25B1A0FC" w14:textId="77777777" w:rsidR="00B413C7" w:rsidRPr="00242BC9" w:rsidRDefault="00B413C7" w:rsidP="00B413C7">
            <w:pPr>
              <w:rPr>
                <w:rFonts w:asciiTheme="minorHAnsi" w:hAnsiTheme="minorHAnsi" w:cstheme="minorHAnsi"/>
                <w:sz w:val="20"/>
              </w:rPr>
            </w:pPr>
          </w:p>
          <w:p w14:paraId="2A79AD34" w14:textId="77777777" w:rsidR="00B413C7" w:rsidRPr="00242BC9" w:rsidRDefault="00B413C7" w:rsidP="00B413C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Подпись</w:t>
            </w:r>
          </w:p>
          <w:p w14:paraId="18F66C93" w14:textId="77777777" w:rsidR="00B413C7" w:rsidRPr="00242BC9" w:rsidRDefault="00B413C7" w:rsidP="00B413C7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0AFFE39" w14:textId="77777777" w:rsidR="00B413C7" w:rsidRPr="00242BC9" w:rsidRDefault="00B413C7" w:rsidP="00B413C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Печать</w:t>
            </w:r>
          </w:p>
          <w:p w14:paraId="131DDE10" w14:textId="713A54BF" w:rsidR="008D6264" w:rsidRPr="00242BC9" w:rsidRDefault="008D6264" w:rsidP="004E4C97">
            <w:pPr>
              <w:rPr>
                <w:rFonts w:asciiTheme="minorHAnsi" w:hAnsiTheme="minorHAnsi" w:cstheme="minorHAnsi"/>
                <w:sz w:val="20"/>
              </w:rPr>
            </w:pPr>
          </w:p>
          <w:p w14:paraId="7BDCC67A" w14:textId="7986C8BB" w:rsidR="008D6264" w:rsidRPr="00242BC9" w:rsidRDefault="008D6264" w:rsidP="004E4C97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>2.5. В случае если событие (действие) может оказать существенное влияние на стоимость или котировки ценных бумаг эмитента - идентификационные</w:t>
            </w:r>
            <w:r w:rsidR="00CB57E1" w:rsidRPr="00242BC9">
              <w:rPr>
                <w:rFonts w:asciiTheme="minorHAnsi" w:hAnsiTheme="minorHAnsi" w:cstheme="minorHAnsi"/>
                <w:sz w:val="20"/>
              </w:rPr>
              <w:t xml:space="preserve"> признаки ценных бумаг эмитента</w:t>
            </w:r>
            <w:r w:rsidRPr="00242BC9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011A2386" w14:textId="59525129" w:rsidR="00CB57E1" w:rsidRPr="00242BC9" w:rsidRDefault="00CB57E1" w:rsidP="004D1CAB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Биржевые облигации процентные неконвертируемые бездокументарные </w:t>
            </w:r>
            <w:r w:rsidR="00234BBA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серии ПБО-08, регистрационный номер выпуска 4B02-08-35992-H-001P от 01.06.2026.</w:t>
            </w:r>
            <w:r w:rsidR="00274774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</w:t>
            </w: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Международный код (номер) идентификации ценных бумаг (ISIN): не присвоен; CFI (международный код классификации финансо</w:t>
            </w:r>
            <w:r w:rsidR="00714B66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вых инструментов) не присвоен.</w:t>
            </w:r>
          </w:p>
          <w:p w14:paraId="4298C7A6" w14:textId="77777777" w:rsidR="00817EAB" w:rsidRPr="00242BC9" w:rsidRDefault="00817EAB" w:rsidP="004D1CAB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</w:p>
          <w:p w14:paraId="540A21FA" w14:textId="77777777" w:rsidR="005917F3" w:rsidRPr="00242BC9" w:rsidRDefault="008D6264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sz w:val="20"/>
              </w:rPr>
              <w:t xml:space="preserve">2.6. Дата наступления события (совершения действия), а если событие наступает в отношении третьего лица (действие совершается третьим лицом) - также дата, в которую эмитент узнал или должен был узнать о наступлении события (совершении действия): </w:t>
            </w:r>
          </w:p>
          <w:p w14:paraId="446297E5" w14:textId="470430FD" w:rsidR="008D6264" w:rsidRPr="00242BC9" w:rsidRDefault="00B413C7" w:rsidP="004D1CA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02</w:t>
            </w:r>
            <w:r w:rsidR="00817EAB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  <w:r w:rsidR="00547865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0</w:t>
            </w:r>
            <w:r w:rsidR="00380F18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6</w:t>
            </w:r>
            <w:r w:rsidR="006202A6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  <w:r w:rsidR="00BE58F3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202</w:t>
            </w:r>
            <w:r w:rsidR="00547865" w:rsidRPr="00242BC9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6</w:t>
            </w:r>
          </w:p>
        </w:tc>
      </w:tr>
    </w:tbl>
    <w:p w14:paraId="2F009B4B" w14:textId="77777777" w:rsidR="00B413C7" w:rsidRPr="003154AD" w:rsidRDefault="00B413C7" w:rsidP="00B413C7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447"/>
        <w:gridCol w:w="292"/>
        <w:gridCol w:w="1313"/>
        <w:gridCol w:w="414"/>
        <w:gridCol w:w="306"/>
        <w:gridCol w:w="410"/>
        <w:gridCol w:w="1976"/>
        <w:gridCol w:w="848"/>
        <w:gridCol w:w="2824"/>
        <w:gridCol w:w="141"/>
      </w:tblGrid>
      <w:tr w:rsidR="00B413C7" w:rsidRPr="003154AD" w14:paraId="01F2D066" w14:textId="77777777" w:rsidTr="005917F3">
        <w:trPr>
          <w:cantSplit/>
        </w:trPr>
        <w:tc>
          <w:tcPr>
            <w:tcW w:w="5000" w:type="pct"/>
            <w:gridSpan w:val="11"/>
          </w:tcPr>
          <w:p w14:paraId="455250CE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3154AD">
              <w:rPr>
                <w:rFonts w:asciiTheme="minorHAnsi" w:eastAsia="Batang" w:hAnsiTheme="minorHAnsi" w:cstheme="minorHAnsi"/>
                <w:sz w:val="20"/>
              </w:rPr>
              <w:t>3. Подпись</w:t>
            </w:r>
          </w:p>
        </w:tc>
      </w:tr>
      <w:tr w:rsidR="00B413C7" w:rsidRPr="003154AD" w14:paraId="3753AF4D" w14:textId="77777777" w:rsidTr="003154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3"/>
        </w:trPr>
        <w:tc>
          <w:tcPr>
            <w:tcW w:w="216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317933" w14:textId="6E51D425" w:rsidR="00B413C7" w:rsidRPr="00242BC9" w:rsidRDefault="00B413C7" w:rsidP="003154AD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 xml:space="preserve">3.1. </w:t>
            </w:r>
            <w:r w:rsidR="00380F18" w:rsidRPr="00242BC9">
              <w:rPr>
                <w:rFonts w:asciiTheme="minorHAnsi" w:eastAsia="Batang" w:hAnsiTheme="minorHAnsi" w:cstheme="minorHAnsi"/>
                <w:sz w:val="20"/>
              </w:rPr>
              <w:t xml:space="preserve">Заместитель генерального директора по экономике и финансам АО «ТМХ»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37073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FDAADD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7E9EC2" w14:textId="6914A96D" w:rsidR="00B413C7" w:rsidRPr="003154AD" w:rsidRDefault="00380F18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3154AD">
              <w:rPr>
                <w:rFonts w:asciiTheme="minorHAnsi" w:eastAsia="Batang" w:hAnsiTheme="minorHAnsi" w:cstheme="minorHAnsi"/>
                <w:sz w:val="20"/>
              </w:rPr>
              <w:t>Д.А. Мещеряков</w:t>
            </w:r>
          </w:p>
          <w:p w14:paraId="3890DE3E" w14:textId="2E9D716A" w:rsidR="003154AD" w:rsidRPr="003154AD" w:rsidRDefault="003154AD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3154AD">
              <w:rPr>
                <w:rFonts w:asciiTheme="minorHAnsi" w:eastAsia="Batang" w:hAnsiTheme="minorHAnsi" w:cstheme="minorHAnsi"/>
                <w:sz w:val="20"/>
              </w:rPr>
              <w:t>(по доверенности № 038/25-Д от 22.07.2025 г.)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AAB0F7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B413C7" w:rsidRPr="003154AD" w14:paraId="12265CFA" w14:textId="77777777" w:rsidTr="00591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8DFF6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14:paraId="5834A2AD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(подпись)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7651BD88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</w:tcPr>
          <w:p w14:paraId="38E0FFD2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2E70B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B413C7" w:rsidRPr="003154AD" w14:paraId="1FD4C047" w14:textId="77777777" w:rsidTr="00591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C99D56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3.2. Дата “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5E720" w14:textId="1DBE06BA" w:rsidR="00B413C7" w:rsidRPr="00242BC9" w:rsidRDefault="00380F18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08C44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”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1FE24" w14:textId="05A9B51B" w:rsidR="00B413C7" w:rsidRPr="00242BC9" w:rsidRDefault="00380F18" w:rsidP="00380F18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июня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FAB6F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07AA5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DE410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г.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2F54F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r w:rsidRPr="00242BC9">
              <w:rPr>
                <w:rFonts w:asciiTheme="minorHAnsi" w:eastAsia="Batang" w:hAnsiTheme="minorHAnsi" w:cstheme="minorHAnsi"/>
                <w:sz w:val="20"/>
              </w:rPr>
              <w:t>М.П.</w:t>
            </w:r>
          </w:p>
        </w:tc>
        <w:tc>
          <w:tcPr>
            <w:tcW w:w="18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E993B7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B413C7" w:rsidRPr="003154AD" w14:paraId="3EE6A500" w14:textId="77777777" w:rsidTr="00591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E133BE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AD298" w14:textId="77777777" w:rsidR="00B413C7" w:rsidRPr="00242BC9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18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DF181" w14:textId="77777777" w:rsidR="00B413C7" w:rsidRPr="003154AD" w:rsidRDefault="00B413C7" w:rsidP="00B413C7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</w:tbl>
    <w:p w14:paraId="3154C140" w14:textId="77777777" w:rsidR="00B413C7" w:rsidRPr="003154AD" w:rsidRDefault="00B413C7" w:rsidP="004D1CAB">
      <w:pPr>
        <w:rPr>
          <w:rFonts w:asciiTheme="minorHAnsi" w:hAnsiTheme="minorHAnsi" w:cstheme="minorHAnsi"/>
          <w:sz w:val="20"/>
        </w:rPr>
      </w:pPr>
    </w:p>
    <w:p w14:paraId="44B277AD" w14:textId="77777777" w:rsidR="00A656A3" w:rsidRPr="003154AD" w:rsidRDefault="00A656A3" w:rsidP="00B413C7">
      <w:pPr>
        <w:rPr>
          <w:rFonts w:asciiTheme="minorHAnsi" w:hAnsiTheme="minorHAnsi" w:cstheme="minorHAnsi"/>
          <w:sz w:val="20"/>
        </w:rPr>
      </w:pPr>
    </w:p>
    <w:sectPr w:rsidR="00A656A3" w:rsidRPr="003154AD" w:rsidSect="00701C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FE643" w14:textId="77777777" w:rsidR="00383615" w:rsidRDefault="00383615">
      <w:r>
        <w:separator/>
      </w:r>
    </w:p>
  </w:endnote>
  <w:endnote w:type="continuationSeparator" w:id="0">
    <w:p w14:paraId="4C9868EB" w14:textId="77777777" w:rsidR="00383615" w:rsidRDefault="0038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D4B1" w14:textId="77777777" w:rsidR="00ED3D66" w:rsidRDefault="00ED3D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AFFF" w14:textId="1DF49090" w:rsidR="00ED3D66" w:rsidRDefault="00ED3D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D546" w14:textId="77777777" w:rsidR="00ED3D66" w:rsidRDefault="00ED3D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D7F0" w14:textId="77777777" w:rsidR="00383615" w:rsidRDefault="00383615">
      <w:r>
        <w:separator/>
      </w:r>
    </w:p>
  </w:footnote>
  <w:footnote w:type="continuationSeparator" w:id="0">
    <w:p w14:paraId="68EEB1E5" w14:textId="77777777" w:rsidR="00383615" w:rsidRDefault="0038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1F5C" w14:textId="77777777" w:rsidR="00ED3D66" w:rsidRDefault="00ED3D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78DC" w14:textId="77777777" w:rsidR="001F09A5" w:rsidRDefault="001F09A5">
    <w:pPr>
      <w:pStyle w:val="a5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15E8" w14:textId="77777777" w:rsidR="00ED3D66" w:rsidRDefault="00ED3D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9A4537"/>
    <w:multiLevelType w:val="hybridMultilevel"/>
    <w:tmpl w:val="463C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A"/>
    <w:rsid w:val="00003155"/>
    <w:rsid w:val="0000614C"/>
    <w:rsid w:val="000062EE"/>
    <w:rsid w:val="00011D54"/>
    <w:rsid w:val="000152A4"/>
    <w:rsid w:val="0002079A"/>
    <w:rsid w:val="00025A99"/>
    <w:rsid w:val="00027CF0"/>
    <w:rsid w:val="000318E2"/>
    <w:rsid w:val="00033D3C"/>
    <w:rsid w:val="0003415A"/>
    <w:rsid w:val="000347FD"/>
    <w:rsid w:val="00046601"/>
    <w:rsid w:val="00056412"/>
    <w:rsid w:val="00061593"/>
    <w:rsid w:val="000648BC"/>
    <w:rsid w:val="00066F3E"/>
    <w:rsid w:val="00070866"/>
    <w:rsid w:val="00071CAD"/>
    <w:rsid w:val="00073106"/>
    <w:rsid w:val="000747A9"/>
    <w:rsid w:val="00083627"/>
    <w:rsid w:val="00083951"/>
    <w:rsid w:val="000840A7"/>
    <w:rsid w:val="000844D0"/>
    <w:rsid w:val="00092E6C"/>
    <w:rsid w:val="00093230"/>
    <w:rsid w:val="00096CD1"/>
    <w:rsid w:val="000A1414"/>
    <w:rsid w:val="000A2EC8"/>
    <w:rsid w:val="000A7254"/>
    <w:rsid w:val="000B1D74"/>
    <w:rsid w:val="000B35CE"/>
    <w:rsid w:val="000B4237"/>
    <w:rsid w:val="000B50A8"/>
    <w:rsid w:val="000B53EA"/>
    <w:rsid w:val="000B7F29"/>
    <w:rsid w:val="000C26A5"/>
    <w:rsid w:val="000C395C"/>
    <w:rsid w:val="000C4276"/>
    <w:rsid w:val="000C437B"/>
    <w:rsid w:val="000C4D59"/>
    <w:rsid w:val="000C76A4"/>
    <w:rsid w:val="000D0059"/>
    <w:rsid w:val="000D3D5D"/>
    <w:rsid w:val="000D5CBB"/>
    <w:rsid w:val="000D62C7"/>
    <w:rsid w:val="000E3206"/>
    <w:rsid w:val="000E58CD"/>
    <w:rsid w:val="000E69F0"/>
    <w:rsid w:val="000E6A00"/>
    <w:rsid w:val="000F360B"/>
    <w:rsid w:val="000F580B"/>
    <w:rsid w:val="000F596C"/>
    <w:rsid w:val="000F727E"/>
    <w:rsid w:val="000F7C28"/>
    <w:rsid w:val="00100309"/>
    <w:rsid w:val="001003BC"/>
    <w:rsid w:val="00100B44"/>
    <w:rsid w:val="00100DF1"/>
    <w:rsid w:val="00100F2D"/>
    <w:rsid w:val="0010182A"/>
    <w:rsid w:val="00103C05"/>
    <w:rsid w:val="0012046A"/>
    <w:rsid w:val="001246FE"/>
    <w:rsid w:val="001259C3"/>
    <w:rsid w:val="001305C8"/>
    <w:rsid w:val="00132872"/>
    <w:rsid w:val="0014673A"/>
    <w:rsid w:val="001503BA"/>
    <w:rsid w:val="001542A0"/>
    <w:rsid w:val="00161302"/>
    <w:rsid w:val="00161815"/>
    <w:rsid w:val="00162595"/>
    <w:rsid w:val="00165D49"/>
    <w:rsid w:val="001750E8"/>
    <w:rsid w:val="0018365C"/>
    <w:rsid w:val="00186D75"/>
    <w:rsid w:val="00187E96"/>
    <w:rsid w:val="001910B0"/>
    <w:rsid w:val="001928F4"/>
    <w:rsid w:val="00192CB3"/>
    <w:rsid w:val="0019512C"/>
    <w:rsid w:val="001969D2"/>
    <w:rsid w:val="001A2155"/>
    <w:rsid w:val="001A7307"/>
    <w:rsid w:val="001B399F"/>
    <w:rsid w:val="001B5AE0"/>
    <w:rsid w:val="001B7E57"/>
    <w:rsid w:val="001C1D96"/>
    <w:rsid w:val="001C4B50"/>
    <w:rsid w:val="001C737B"/>
    <w:rsid w:val="001D2ADE"/>
    <w:rsid w:val="001D5C90"/>
    <w:rsid w:val="001D7A0C"/>
    <w:rsid w:val="001F09A5"/>
    <w:rsid w:val="001F6DFB"/>
    <w:rsid w:val="00202E5C"/>
    <w:rsid w:val="002060B3"/>
    <w:rsid w:val="00210C55"/>
    <w:rsid w:val="00211EDE"/>
    <w:rsid w:val="002127E1"/>
    <w:rsid w:val="002173D2"/>
    <w:rsid w:val="002175FA"/>
    <w:rsid w:val="00221D27"/>
    <w:rsid w:val="0023418A"/>
    <w:rsid w:val="00234BBA"/>
    <w:rsid w:val="00236280"/>
    <w:rsid w:val="002364B8"/>
    <w:rsid w:val="00236643"/>
    <w:rsid w:val="002408AB"/>
    <w:rsid w:val="00240EF2"/>
    <w:rsid w:val="00240F1C"/>
    <w:rsid w:val="00240FD4"/>
    <w:rsid w:val="00241FE9"/>
    <w:rsid w:val="00242BC9"/>
    <w:rsid w:val="00243A0B"/>
    <w:rsid w:val="002454BA"/>
    <w:rsid w:val="002502F7"/>
    <w:rsid w:val="002521E7"/>
    <w:rsid w:val="00254174"/>
    <w:rsid w:val="00260349"/>
    <w:rsid w:val="00262C4A"/>
    <w:rsid w:val="00270BE8"/>
    <w:rsid w:val="0027108E"/>
    <w:rsid w:val="00273304"/>
    <w:rsid w:val="00273F33"/>
    <w:rsid w:val="00274691"/>
    <w:rsid w:val="00274774"/>
    <w:rsid w:val="00276CC8"/>
    <w:rsid w:val="002770A4"/>
    <w:rsid w:val="0027752D"/>
    <w:rsid w:val="00280135"/>
    <w:rsid w:val="0028758B"/>
    <w:rsid w:val="00290386"/>
    <w:rsid w:val="002922FC"/>
    <w:rsid w:val="00293ADC"/>
    <w:rsid w:val="00294120"/>
    <w:rsid w:val="002A0986"/>
    <w:rsid w:val="002A1F38"/>
    <w:rsid w:val="002A5A26"/>
    <w:rsid w:val="002B07EF"/>
    <w:rsid w:val="002B0C2A"/>
    <w:rsid w:val="002B2E56"/>
    <w:rsid w:val="002C1764"/>
    <w:rsid w:val="002C7BDF"/>
    <w:rsid w:val="002C7F00"/>
    <w:rsid w:val="002D4EE9"/>
    <w:rsid w:val="002E3E05"/>
    <w:rsid w:val="002E51A3"/>
    <w:rsid w:val="002F0CDC"/>
    <w:rsid w:val="002F0EFA"/>
    <w:rsid w:val="002F186A"/>
    <w:rsid w:val="00300A15"/>
    <w:rsid w:val="00304B66"/>
    <w:rsid w:val="003101AE"/>
    <w:rsid w:val="00312185"/>
    <w:rsid w:val="003154AD"/>
    <w:rsid w:val="003174DF"/>
    <w:rsid w:val="00317A64"/>
    <w:rsid w:val="003234F2"/>
    <w:rsid w:val="00324E0D"/>
    <w:rsid w:val="0032501D"/>
    <w:rsid w:val="00333293"/>
    <w:rsid w:val="0033374F"/>
    <w:rsid w:val="0033407E"/>
    <w:rsid w:val="003347E5"/>
    <w:rsid w:val="003358A0"/>
    <w:rsid w:val="00344717"/>
    <w:rsid w:val="00347877"/>
    <w:rsid w:val="0035628D"/>
    <w:rsid w:val="00356368"/>
    <w:rsid w:val="00360227"/>
    <w:rsid w:val="003628AA"/>
    <w:rsid w:val="00366D9F"/>
    <w:rsid w:val="00367B32"/>
    <w:rsid w:val="0037258D"/>
    <w:rsid w:val="00373620"/>
    <w:rsid w:val="00376369"/>
    <w:rsid w:val="0037764F"/>
    <w:rsid w:val="00380F18"/>
    <w:rsid w:val="00383615"/>
    <w:rsid w:val="00384806"/>
    <w:rsid w:val="003923F0"/>
    <w:rsid w:val="003928EE"/>
    <w:rsid w:val="00395043"/>
    <w:rsid w:val="0039660C"/>
    <w:rsid w:val="00397BF7"/>
    <w:rsid w:val="003A3220"/>
    <w:rsid w:val="003A5A52"/>
    <w:rsid w:val="003A6F1C"/>
    <w:rsid w:val="003B48B4"/>
    <w:rsid w:val="003B5C1E"/>
    <w:rsid w:val="003B663C"/>
    <w:rsid w:val="003C4075"/>
    <w:rsid w:val="003C67E5"/>
    <w:rsid w:val="003D173F"/>
    <w:rsid w:val="003E2E51"/>
    <w:rsid w:val="003E722F"/>
    <w:rsid w:val="0040434C"/>
    <w:rsid w:val="0040485F"/>
    <w:rsid w:val="00407CF6"/>
    <w:rsid w:val="00411DBB"/>
    <w:rsid w:val="0041238D"/>
    <w:rsid w:val="00427D46"/>
    <w:rsid w:val="004328D5"/>
    <w:rsid w:val="0044249F"/>
    <w:rsid w:val="004437B2"/>
    <w:rsid w:val="00443897"/>
    <w:rsid w:val="00445575"/>
    <w:rsid w:val="00452207"/>
    <w:rsid w:val="0045377C"/>
    <w:rsid w:val="00455D1D"/>
    <w:rsid w:val="00457F88"/>
    <w:rsid w:val="00473B52"/>
    <w:rsid w:val="004802F2"/>
    <w:rsid w:val="00484548"/>
    <w:rsid w:val="00486396"/>
    <w:rsid w:val="00491A22"/>
    <w:rsid w:val="00492336"/>
    <w:rsid w:val="00496806"/>
    <w:rsid w:val="004A2A67"/>
    <w:rsid w:val="004A41A4"/>
    <w:rsid w:val="004A4B95"/>
    <w:rsid w:val="004A5DC4"/>
    <w:rsid w:val="004B0779"/>
    <w:rsid w:val="004B0A91"/>
    <w:rsid w:val="004B4100"/>
    <w:rsid w:val="004B4CDE"/>
    <w:rsid w:val="004B7235"/>
    <w:rsid w:val="004C0C05"/>
    <w:rsid w:val="004C5146"/>
    <w:rsid w:val="004C6A79"/>
    <w:rsid w:val="004D199D"/>
    <w:rsid w:val="004D1CAB"/>
    <w:rsid w:val="004D2D57"/>
    <w:rsid w:val="004D6367"/>
    <w:rsid w:val="004E1986"/>
    <w:rsid w:val="004E1E16"/>
    <w:rsid w:val="004E1E27"/>
    <w:rsid w:val="004E4C97"/>
    <w:rsid w:val="004E64B3"/>
    <w:rsid w:val="004F24E0"/>
    <w:rsid w:val="004F38A9"/>
    <w:rsid w:val="004F588D"/>
    <w:rsid w:val="004F5E2F"/>
    <w:rsid w:val="004F662D"/>
    <w:rsid w:val="00504802"/>
    <w:rsid w:val="00507094"/>
    <w:rsid w:val="00510E7A"/>
    <w:rsid w:val="005114A5"/>
    <w:rsid w:val="005232CB"/>
    <w:rsid w:val="00524EC2"/>
    <w:rsid w:val="00526205"/>
    <w:rsid w:val="00526C10"/>
    <w:rsid w:val="00530880"/>
    <w:rsid w:val="0053179C"/>
    <w:rsid w:val="0053393C"/>
    <w:rsid w:val="005406E7"/>
    <w:rsid w:val="00547865"/>
    <w:rsid w:val="005529B6"/>
    <w:rsid w:val="00554BB7"/>
    <w:rsid w:val="00561560"/>
    <w:rsid w:val="00572CE6"/>
    <w:rsid w:val="00581731"/>
    <w:rsid w:val="005836EA"/>
    <w:rsid w:val="00583A90"/>
    <w:rsid w:val="005869D0"/>
    <w:rsid w:val="0058708F"/>
    <w:rsid w:val="005917F3"/>
    <w:rsid w:val="00591857"/>
    <w:rsid w:val="005A26A0"/>
    <w:rsid w:val="005A2E65"/>
    <w:rsid w:val="005A307C"/>
    <w:rsid w:val="005A5E36"/>
    <w:rsid w:val="005A64E3"/>
    <w:rsid w:val="005B4854"/>
    <w:rsid w:val="005C0183"/>
    <w:rsid w:val="005C4E3A"/>
    <w:rsid w:val="005C6468"/>
    <w:rsid w:val="005D0EA7"/>
    <w:rsid w:val="005D2C24"/>
    <w:rsid w:val="005D5FAB"/>
    <w:rsid w:val="005D7170"/>
    <w:rsid w:val="005F5C47"/>
    <w:rsid w:val="0060627F"/>
    <w:rsid w:val="00612345"/>
    <w:rsid w:val="00615BE6"/>
    <w:rsid w:val="006202A6"/>
    <w:rsid w:val="00621342"/>
    <w:rsid w:val="00622943"/>
    <w:rsid w:val="00626169"/>
    <w:rsid w:val="006411FB"/>
    <w:rsid w:val="00644FF0"/>
    <w:rsid w:val="0064599A"/>
    <w:rsid w:val="0065487A"/>
    <w:rsid w:val="00655DC1"/>
    <w:rsid w:val="0066025F"/>
    <w:rsid w:val="0066371A"/>
    <w:rsid w:val="0066577D"/>
    <w:rsid w:val="00665BC9"/>
    <w:rsid w:val="0066749A"/>
    <w:rsid w:val="00670396"/>
    <w:rsid w:val="00670E9D"/>
    <w:rsid w:val="006759DB"/>
    <w:rsid w:val="0067726B"/>
    <w:rsid w:val="006773E2"/>
    <w:rsid w:val="00677909"/>
    <w:rsid w:val="006851D0"/>
    <w:rsid w:val="006908F6"/>
    <w:rsid w:val="00691FEF"/>
    <w:rsid w:val="00692383"/>
    <w:rsid w:val="006A11A5"/>
    <w:rsid w:val="006B0E57"/>
    <w:rsid w:val="006B197F"/>
    <w:rsid w:val="006B1FE3"/>
    <w:rsid w:val="006C2234"/>
    <w:rsid w:val="006C2EBA"/>
    <w:rsid w:val="006C3662"/>
    <w:rsid w:val="006C5A43"/>
    <w:rsid w:val="006C6117"/>
    <w:rsid w:val="006D0697"/>
    <w:rsid w:val="006D354F"/>
    <w:rsid w:val="006D4929"/>
    <w:rsid w:val="006E1D71"/>
    <w:rsid w:val="006E7B7F"/>
    <w:rsid w:val="006F40E1"/>
    <w:rsid w:val="006F4926"/>
    <w:rsid w:val="006F60E7"/>
    <w:rsid w:val="00701CDC"/>
    <w:rsid w:val="00704CA5"/>
    <w:rsid w:val="007108FE"/>
    <w:rsid w:val="00711D51"/>
    <w:rsid w:val="00714260"/>
    <w:rsid w:val="007149C6"/>
    <w:rsid w:val="00714B66"/>
    <w:rsid w:val="007159ED"/>
    <w:rsid w:val="0072115F"/>
    <w:rsid w:val="0072391C"/>
    <w:rsid w:val="00725808"/>
    <w:rsid w:val="00733FF0"/>
    <w:rsid w:val="007412D7"/>
    <w:rsid w:val="007420F2"/>
    <w:rsid w:val="00743B6C"/>
    <w:rsid w:val="00745880"/>
    <w:rsid w:val="0075417A"/>
    <w:rsid w:val="0075554F"/>
    <w:rsid w:val="00760A04"/>
    <w:rsid w:val="00761ADA"/>
    <w:rsid w:val="007641E0"/>
    <w:rsid w:val="00764A1C"/>
    <w:rsid w:val="00765CC4"/>
    <w:rsid w:val="00772AC8"/>
    <w:rsid w:val="00772ED6"/>
    <w:rsid w:val="00774036"/>
    <w:rsid w:val="00775EC9"/>
    <w:rsid w:val="00776EEA"/>
    <w:rsid w:val="00797AB1"/>
    <w:rsid w:val="007A1357"/>
    <w:rsid w:val="007A7525"/>
    <w:rsid w:val="007B0127"/>
    <w:rsid w:val="007B3197"/>
    <w:rsid w:val="007B3D1B"/>
    <w:rsid w:val="007B46C5"/>
    <w:rsid w:val="007B473F"/>
    <w:rsid w:val="007B6C8F"/>
    <w:rsid w:val="007C4130"/>
    <w:rsid w:val="007C5FB8"/>
    <w:rsid w:val="007C63DA"/>
    <w:rsid w:val="007C6654"/>
    <w:rsid w:val="007D1EC0"/>
    <w:rsid w:val="007D3BA7"/>
    <w:rsid w:val="007D7C65"/>
    <w:rsid w:val="007F1E6E"/>
    <w:rsid w:val="007F3500"/>
    <w:rsid w:val="007F6CCE"/>
    <w:rsid w:val="00801777"/>
    <w:rsid w:val="0080209F"/>
    <w:rsid w:val="008042E6"/>
    <w:rsid w:val="0080519F"/>
    <w:rsid w:val="008057AC"/>
    <w:rsid w:val="0080596D"/>
    <w:rsid w:val="008121A0"/>
    <w:rsid w:val="00817B4A"/>
    <w:rsid w:val="00817EAB"/>
    <w:rsid w:val="0082050F"/>
    <w:rsid w:val="00822357"/>
    <w:rsid w:val="0082264E"/>
    <w:rsid w:val="00823D5B"/>
    <w:rsid w:val="00827582"/>
    <w:rsid w:val="00834B10"/>
    <w:rsid w:val="0083654B"/>
    <w:rsid w:val="0084531A"/>
    <w:rsid w:val="0085012B"/>
    <w:rsid w:val="008542C7"/>
    <w:rsid w:val="00854EB7"/>
    <w:rsid w:val="008552D5"/>
    <w:rsid w:val="008637BE"/>
    <w:rsid w:val="00867EEF"/>
    <w:rsid w:val="00871E58"/>
    <w:rsid w:val="008733B2"/>
    <w:rsid w:val="00884CA9"/>
    <w:rsid w:val="00884CCB"/>
    <w:rsid w:val="00890C2F"/>
    <w:rsid w:val="00890C76"/>
    <w:rsid w:val="008976D1"/>
    <w:rsid w:val="00897BF8"/>
    <w:rsid w:val="008A02B9"/>
    <w:rsid w:val="008A6F4A"/>
    <w:rsid w:val="008A7BC8"/>
    <w:rsid w:val="008B0596"/>
    <w:rsid w:val="008C0C8A"/>
    <w:rsid w:val="008C3105"/>
    <w:rsid w:val="008C426E"/>
    <w:rsid w:val="008C44ED"/>
    <w:rsid w:val="008C5DA8"/>
    <w:rsid w:val="008D48EE"/>
    <w:rsid w:val="008D6264"/>
    <w:rsid w:val="008E6352"/>
    <w:rsid w:val="008F0BCA"/>
    <w:rsid w:val="008F536C"/>
    <w:rsid w:val="008F79A2"/>
    <w:rsid w:val="00905D81"/>
    <w:rsid w:val="009109A3"/>
    <w:rsid w:val="009134E5"/>
    <w:rsid w:val="00916FE2"/>
    <w:rsid w:val="00922539"/>
    <w:rsid w:val="00924B9D"/>
    <w:rsid w:val="00925999"/>
    <w:rsid w:val="00927E47"/>
    <w:rsid w:val="00927FF6"/>
    <w:rsid w:val="00931F68"/>
    <w:rsid w:val="009324F1"/>
    <w:rsid w:val="0093480F"/>
    <w:rsid w:val="00935A32"/>
    <w:rsid w:val="00936F06"/>
    <w:rsid w:val="00936F5B"/>
    <w:rsid w:val="00942B4A"/>
    <w:rsid w:val="00945ECA"/>
    <w:rsid w:val="009471FA"/>
    <w:rsid w:val="009506AA"/>
    <w:rsid w:val="00953019"/>
    <w:rsid w:val="0095354C"/>
    <w:rsid w:val="009545D1"/>
    <w:rsid w:val="00956DE5"/>
    <w:rsid w:val="00957038"/>
    <w:rsid w:val="00964BD9"/>
    <w:rsid w:val="00971C22"/>
    <w:rsid w:val="00972927"/>
    <w:rsid w:val="00972A70"/>
    <w:rsid w:val="00972B16"/>
    <w:rsid w:val="00973C38"/>
    <w:rsid w:val="00977D59"/>
    <w:rsid w:val="009872BF"/>
    <w:rsid w:val="00990A4E"/>
    <w:rsid w:val="00992532"/>
    <w:rsid w:val="00993C4A"/>
    <w:rsid w:val="009A2A5E"/>
    <w:rsid w:val="009A573E"/>
    <w:rsid w:val="009B09F7"/>
    <w:rsid w:val="009C05DC"/>
    <w:rsid w:val="009C2FBE"/>
    <w:rsid w:val="009D24F6"/>
    <w:rsid w:val="009D29CF"/>
    <w:rsid w:val="009D3078"/>
    <w:rsid w:val="009D61E2"/>
    <w:rsid w:val="009E07E3"/>
    <w:rsid w:val="009E1348"/>
    <w:rsid w:val="009E26A9"/>
    <w:rsid w:val="009F0DD5"/>
    <w:rsid w:val="009F424B"/>
    <w:rsid w:val="00A05D47"/>
    <w:rsid w:val="00A06A82"/>
    <w:rsid w:val="00A14008"/>
    <w:rsid w:val="00A22D00"/>
    <w:rsid w:val="00A236CA"/>
    <w:rsid w:val="00A2613D"/>
    <w:rsid w:val="00A26F41"/>
    <w:rsid w:val="00A27CCC"/>
    <w:rsid w:val="00A3660D"/>
    <w:rsid w:val="00A4180D"/>
    <w:rsid w:val="00A41972"/>
    <w:rsid w:val="00A427AC"/>
    <w:rsid w:val="00A432B3"/>
    <w:rsid w:val="00A44A5D"/>
    <w:rsid w:val="00A45AE6"/>
    <w:rsid w:val="00A46FDC"/>
    <w:rsid w:val="00A54F8C"/>
    <w:rsid w:val="00A55963"/>
    <w:rsid w:val="00A5699F"/>
    <w:rsid w:val="00A5731D"/>
    <w:rsid w:val="00A60B1D"/>
    <w:rsid w:val="00A653E8"/>
    <w:rsid w:val="00A656A3"/>
    <w:rsid w:val="00A750D1"/>
    <w:rsid w:val="00A805C9"/>
    <w:rsid w:val="00A80ED3"/>
    <w:rsid w:val="00A81E53"/>
    <w:rsid w:val="00A82877"/>
    <w:rsid w:val="00A83A47"/>
    <w:rsid w:val="00A85895"/>
    <w:rsid w:val="00A91DC1"/>
    <w:rsid w:val="00A94858"/>
    <w:rsid w:val="00AA14B2"/>
    <w:rsid w:val="00AA195D"/>
    <w:rsid w:val="00AA1A7A"/>
    <w:rsid w:val="00AA1AB4"/>
    <w:rsid w:val="00AA351E"/>
    <w:rsid w:val="00AB1214"/>
    <w:rsid w:val="00AB3283"/>
    <w:rsid w:val="00AB5834"/>
    <w:rsid w:val="00AB647B"/>
    <w:rsid w:val="00AC3628"/>
    <w:rsid w:val="00AC369E"/>
    <w:rsid w:val="00AC56E9"/>
    <w:rsid w:val="00AD0A9F"/>
    <w:rsid w:val="00AD1731"/>
    <w:rsid w:val="00AD2453"/>
    <w:rsid w:val="00AD2EED"/>
    <w:rsid w:val="00AD7D90"/>
    <w:rsid w:val="00AE060D"/>
    <w:rsid w:val="00AE4D21"/>
    <w:rsid w:val="00AE57D7"/>
    <w:rsid w:val="00AF1085"/>
    <w:rsid w:val="00B01EA1"/>
    <w:rsid w:val="00B02D99"/>
    <w:rsid w:val="00B040CE"/>
    <w:rsid w:val="00B10320"/>
    <w:rsid w:val="00B1241F"/>
    <w:rsid w:val="00B1540A"/>
    <w:rsid w:val="00B155FC"/>
    <w:rsid w:val="00B160A4"/>
    <w:rsid w:val="00B20089"/>
    <w:rsid w:val="00B21D3E"/>
    <w:rsid w:val="00B221EF"/>
    <w:rsid w:val="00B255C8"/>
    <w:rsid w:val="00B27A96"/>
    <w:rsid w:val="00B31C3B"/>
    <w:rsid w:val="00B413C7"/>
    <w:rsid w:val="00B432C5"/>
    <w:rsid w:val="00B437AB"/>
    <w:rsid w:val="00B46B76"/>
    <w:rsid w:val="00B531E7"/>
    <w:rsid w:val="00B66B15"/>
    <w:rsid w:val="00B67316"/>
    <w:rsid w:val="00B7689B"/>
    <w:rsid w:val="00B77D5A"/>
    <w:rsid w:val="00B8118C"/>
    <w:rsid w:val="00B8476F"/>
    <w:rsid w:val="00B84985"/>
    <w:rsid w:val="00B87EB6"/>
    <w:rsid w:val="00B9355D"/>
    <w:rsid w:val="00B96C56"/>
    <w:rsid w:val="00B96F29"/>
    <w:rsid w:val="00BA00CB"/>
    <w:rsid w:val="00BA1FD1"/>
    <w:rsid w:val="00BA276B"/>
    <w:rsid w:val="00BA2E9D"/>
    <w:rsid w:val="00BA417A"/>
    <w:rsid w:val="00BB5589"/>
    <w:rsid w:val="00BB6654"/>
    <w:rsid w:val="00BD148D"/>
    <w:rsid w:val="00BD4DA4"/>
    <w:rsid w:val="00BE1443"/>
    <w:rsid w:val="00BE40D0"/>
    <w:rsid w:val="00BE455C"/>
    <w:rsid w:val="00BE48D9"/>
    <w:rsid w:val="00BE53D1"/>
    <w:rsid w:val="00BE58F3"/>
    <w:rsid w:val="00BE711F"/>
    <w:rsid w:val="00BE75A7"/>
    <w:rsid w:val="00BF03F8"/>
    <w:rsid w:val="00BF11A1"/>
    <w:rsid w:val="00BF1712"/>
    <w:rsid w:val="00BF3B7E"/>
    <w:rsid w:val="00BF7256"/>
    <w:rsid w:val="00BF77D0"/>
    <w:rsid w:val="00C02E28"/>
    <w:rsid w:val="00C1430B"/>
    <w:rsid w:val="00C16AE8"/>
    <w:rsid w:val="00C214B1"/>
    <w:rsid w:val="00C2417D"/>
    <w:rsid w:val="00C24DF0"/>
    <w:rsid w:val="00C25855"/>
    <w:rsid w:val="00C2589D"/>
    <w:rsid w:val="00C260C9"/>
    <w:rsid w:val="00C329EB"/>
    <w:rsid w:val="00C36700"/>
    <w:rsid w:val="00C4092E"/>
    <w:rsid w:val="00C42F7C"/>
    <w:rsid w:val="00C45A7B"/>
    <w:rsid w:val="00C50055"/>
    <w:rsid w:val="00C542C6"/>
    <w:rsid w:val="00C55849"/>
    <w:rsid w:val="00C61396"/>
    <w:rsid w:val="00C61ABA"/>
    <w:rsid w:val="00C6219B"/>
    <w:rsid w:val="00C72061"/>
    <w:rsid w:val="00C773B8"/>
    <w:rsid w:val="00C81158"/>
    <w:rsid w:val="00C82528"/>
    <w:rsid w:val="00C832EC"/>
    <w:rsid w:val="00C85B54"/>
    <w:rsid w:val="00C93E75"/>
    <w:rsid w:val="00C95691"/>
    <w:rsid w:val="00CA0D22"/>
    <w:rsid w:val="00CA1A29"/>
    <w:rsid w:val="00CA553D"/>
    <w:rsid w:val="00CB57E1"/>
    <w:rsid w:val="00CB5858"/>
    <w:rsid w:val="00CB5F0B"/>
    <w:rsid w:val="00CC3268"/>
    <w:rsid w:val="00CC4CC7"/>
    <w:rsid w:val="00CC73AE"/>
    <w:rsid w:val="00CD0461"/>
    <w:rsid w:val="00CD0F6E"/>
    <w:rsid w:val="00CD72A1"/>
    <w:rsid w:val="00CE3382"/>
    <w:rsid w:val="00CE4335"/>
    <w:rsid w:val="00CE4864"/>
    <w:rsid w:val="00CF0DA8"/>
    <w:rsid w:val="00CF34EA"/>
    <w:rsid w:val="00CF42DA"/>
    <w:rsid w:val="00CF5492"/>
    <w:rsid w:val="00CF75F8"/>
    <w:rsid w:val="00CF7DC3"/>
    <w:rsid w:val="00D00899"/>
    <w:rsid w:val="00D021F7"/>
    <w:rsid w:val="00D03B09"/>
    <w:rsid w:val="00D03F1B"/>
    <w:rsid w:val="00D055EC"/>
    <w:rsid w:val="00D06FD7"/>
    <w:rsid w:val="00D16A37"/>
    <w:rsid w:val="00D20B18"/>
    <w:rsid w:val="00D238D8"/>
    <w:rsid w:val="00D321CC"/>
    <w:rsid w:val="00D3671E"/>
    <w:rsid w:val="00D37968"/>
    <w:rsid w:val="00D37EB7"/>
    <w:rsid w:val="00D42338"/>
    <w:rsid w:val="00D50EB3"/>
    <w:rsid w:val="00D55178"/>
    <w:rsid w:val="00D61617"/>
    <w:rsid w:val="00D62E0E"/>
    <w:rsid w:val="00D64FFE"/>
    <w:rsid w:val="00D67A90"/>
    <w:rsid w:val="00D72F17"/>
    <w:rsid w:val="00D750DB"/>
    <w:rsid w:val="00D75B41"/>
    <w:rsid w:val="00D760FE"/>
    <w:rsid w:val="00D7672C"/>
    <w:rsid w:val="00D76901"/>
    <w:rsid w:val="00D779F8"/>
    <w:rsid w:val="00D811B9"/>
    <w:rsid w:val="00D83173"/>
    <w:rsid w:val="00D84741"/>
    <w:rsid w:val="00D84910"/>
    <w:rsid w:val="00D96478"/>
    <w:rsid w:val="00DA37D4"/>
    <w:rsid w:val="00DA660C"/>
    <w:rsid w:val="00DA793C"/>
    <w:rsid w:val="00DB05EE"/>
    <w:rsid w:val="00DB0A0F"/>
    <w:rsid w:val="00DB36A0"/>
    <w:rsid w:val="00DB3A1D"/>
    <w:rsid w:val="00DB403E"/>
    <w:rsid w:val="00DB58BA"/>
    <w:rsid w:val="00DC0F70"/>
    <w:rsid w:val="00DC693F"/>
    <w:rsid w:val="00DC6F05"/>
    <w:rsid w:val="00DD7539"/>
    <w:rsid w:val="00DE0193"/>
    <w:rsid w:val="00DE2B68"/>
    <w:rsid w:val="00DE37F5"/>
    <w:rsid w:val="00DE727E"/>
    <w:rsid w:val="00DF1B46"/>
    <w:rsid w:val="00DF2C6B"/>
    <w:rsid w:val="00DF4B92"/>
    <w:rsid w:val="00DF56F8"/>
    <w:rsid w:val="00DF5A74"/>
    <w:rsid w:val="00DF5FD4"/>
    <w:rsid w:val="00DF72D5"/>
    <w:rsid w:val="00E02F6B"/>
    <w:rsid w:val="00E02F73"/>
    <w:rsid w:val="00E05B21"/>
    <w:rsid w:val="00E1040C"/>
    <w:rsid w:val="00E118CF"/>
    <w:rsid w:val="00E17C78"/>
    <w:rsid w:val="00E208FA"/>
    <w:rsid w:val="00E25095"/>
    <w:rsid w:val="00E26B16"/>
    <w:rsid w:val="00E27AEC"/>
    <w:rsid w:val="00E32C9D"/>
    <w:rsid w:val="00E36971"/>
    <w:rsid w:val="00E37482"/>
    <w:rsid w:val="00E4611A"/>
    <w:rsid w:val="00E47493"/>
    <w:rsid w:val="00E4755C"/>
    <w:rsid w:val="00E47AFC"/>
    <w:rsid w:val="00E50B77"/>
    <w:rsid w:val="00E52E8A"/>
    <w:rsid w:val="00E5526F"/>
    <w:rsid w:val="00E5683C"/>
    <w:rsid w:val="00E64DA9"/>
    <w:rsid w:val="00E76080"/>
    <w:rsid w:val="00E82A80"/>
    <w:rsid w:val="00E851EA"/>
    <w:rsid w:val="00E860AA"/>
    <w:rsid w:val="00E901C8"/>
    <w:rsid w:val="00E90487"/>
    <w:rsid w:val="00E94892"/>
    <w:rsid w:val="00E97319"/>
    <w:rsid w:val="00E97BAA"/>
    <w:rsid w:val="00EA188D"/>
    <w:rsid w:val="00EA4D67"/>
    <w:rsid w:val="00EB1D12"/>
    <w:rsid w:val="00EB1E69"/>
    <w:rsid w:val="00EB3EFC"/>
    <w:rsid w:val="00EB4336"/>
    <w:rsid w:val="00EB53AE"/>
    <w:rsid w:val="00EC0AE2"/>
    <w:rsid w:val="00EC0F31"/>
    <w:rsid w:val="00EC1B2B"/>
    <w:rsid w:val="00EC1D86"/>
    <w:rsid w:val="00EC1E77"/>
    <w:rsid w:val="00ED30F1"/>
    <w:rsid w:val="00ED3D66"/>
    <w:rsid w:val="00ED6A07"/>
    <w:rsid w:val="00EE072C"/>
    <w:rsid w:val="00EE463E"/>
    <w:rsid w:val="00EE48C7"/>
    <w:rsid w:val="00EE5C94"/>
    <w:rsid w:val="00EE6AC2"/>
    <w:rsid w:val="00EF055C"/>
    <w:rsid w:val="00EF17E9"/>
    <w:rsid w:val="00EF1A85"/>
    <w:rsid w:val="00EF3A3C"/>
    <w:rsid w:val="00F0026A"/>
    <w:rsid w:val="00F035B3"/>
    <w:rsid w:val="00F054C7"/>
    <w:rsid w:val="00F06F6F"/>
    <w:rsid w:val="00F074DD"/>
    <w:rsid w:val="00F115C4"/>
    <w:rsid w:val="00F12BA1"/>
    <w:rsid w:val="00F15B3B"/>
    <w:rsid w:val="00F1715E"/>
    <w:rsid w:val="00F17A99"/>
    <w:rsid w:val="00F23949"/>
    <w:rsid w:val="00F23FEA"/>
    <w:rsid w:val="00F27CEC"/>
    <w:rsid w:val="00F319E3"/>
    <w:rsid w:val="00F31DD8"/>
    <w:rsid w:val="00F36289"/>
    <w:rsid w:val="00F4042B"/>
    <w:rsid w:val="00F40805"/>
    <w:rsid w:val="00F4312B"/>
    <w:rsid w:val="00F44D80"/>
    <w:rsid w:val="00F5339B"/>
    <w:rsid w:val="00F54C44"/>
    <w:rsid w:val="00F60503"/>
    <w:rsid w:val="00F64E9F"/>
    <w:rsid w:val="00F65CA2"/>
    <w:rsid w:val="00F66CE6"/>
    <w:rsid w:val="00F67456"/>
    <w:rsid w:val="00F72318"/>
    <w:rsid w:val="00F733FE"/>
    <w:rsid w:val="00F759E7"/>
    <w:rsid w:val="00F81655"/>
    <w:rsid w:val="00F84104"/>
    <w:rsid w:val="00F84316"/>
    <w:rsid w:val="00F85B53"/>
    <w:rsid w:val="00F871EF"/>
    <w:rsid w:val="00F91117"/>
    <w:rsid w:val="00F95282"/>
    <w:rsid w:val="00F963D3"/>
    <w:rsid w:val="00FA1DD2"/>
    <w:rsid w:val="00FA457A"/>
    <w:rsid w:val="00FA63F6"/>
    <w:rsid w:val="00FA691A"/>
    <w:rsid w:val="00FB033D"/>
    <w:rsid w:val="00FB621B"/>
    <w:rsid w:val="00FB71CF"/>
    <w:rsid w:val="00FC0BE3"/>
    <w:rsid w:val="00FC138E"/>
    <w:rsid w:val="00FC32E7"/>
    <w:rsid w:val="00FC4BC8"/>
    <w:rsid w:val="00FD1954"/>
    <w:rsid w:val="00FD2D34"/>
    <w:rsid w:val="00FD6022"/>
    <w:rsid w:val="00FD7A8E"/>
    <w:rsid w:val="00FE0065"/>
    <w:rsid w:val="00FE205B"/>
    <w:rsid w:val="00FE2A73"/>
    <w:rsid w:val="00FE4D72"/>
    <w:rsid w:val="00FE773B"/>
    <w:rsid w:val="00FF3C10"/>
    <w:rsid w:val="00FF45AB"/>
    <w:rsid w:val="00FF589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64810F2"/>
  <w14:defaultImageDpi w14:val="0"/>
  <w15:docId w15:val="{DC35C151-8A74-45EB-B59C-600FDF3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2D"/>
    <w:pPr>
      <w:autoSpaceDE w:val="0"/>
      <w:autoSpaceDN w:val="0"/>
    </w:pPr>
    <w:rPr>
      <w:rFonts w:ascii="Arial Narrow" w:hAnsi="Arial Narrow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A82"/>
    <w:rPr>
      <w:sz w:val="2"/>
      <w:lang w:val="x-none" w:eastAsia="en-US"/>
    </w:rPr>
  </w:style>
  <w:style w:type="paragraph" w:styleId="a5">
    <w:name w:val="header"/>
    <w:basedOn w:val="a"/>
    <w:link w:val="a6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6A82"/>
    <w:rPr>
      <w:sz w:val="20"/>
      <w:lang w:val="x-none" w:eastAsia="en-US"/>
    </w:rPr>
  </w:style>
  <w:style w:type="paragraph" w:styleId="a7">
    <w:name w:val="footer"/>
    <w:basedOn w:val="a"/>
    <w:link w:val="a8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6A82"/>
    <w:rPr>
      <w:sz w:val="20"/>
      <w:lang w:val="x-none" w:eastAsia="en-US"/>
    </w:rPr>
  </w:style>
  <w:style w:type="paragraph" w:styleId="a9">
    <w:name w:val="Body Text"/>
    <w:basedOn w:val="a"/>
    <w:link w:val="aa"/>
    <w:uiPriority w:val="99"/>
    <w:rsid w:val="00701CDC"/>
    <w:pPr>
      <w:jc w:val="center"/>
    </w:pPr>
    <w:rPr>
      <w:b/>
      <w:bCs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6A82"/>
    <w:rPr>
      <w:sz w:val="20"/>
      <w:lang w:val="x-none" w:eastAsia="en-US"/>
    </w:rPr>
  </w:style>
  <w:style w:type="paragraph" w:styleId="ab">
    <w:name w:val="Body Text Indent"/>
    <w:basedOn w:val="a"/>
    <w:link w:val="ac"/>
    <w:uiPriority w:val="99"/>
    <w:rsid w:val="0023418A"/>
    <w:pPr>
      <w:ind w:left="57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A06A82"/>
    <w:rPr>
      <w:sz w:val="20"/>
      <w:lang w:val="x-none" w:eastAsia="en-US"/>
    </w:rPr>
  </w:style>
  <w:style w:type="character" w:customStyle="1" w:styleId="SUBST">
    <w:name w:val="__SUBST"/>
    <w:uiPriority w:val="99"/>
    <w:rsid w:val="00701CDC"/>
    <w:rPr>
      <w:b/>
      <w:i/>
      <w:sz w:val="22"/>
    </w:rPr>
  </w:style>
  <w:style w:type="paragraph" w:styleId="ad">
    <w:name w:val="footnote text"/>
    <w:basedOn w:val="a"/>
    <w:link w:val="ae"/>
    <w:uiPriority w:val="99"/>
    <w:semiHidden/>
    <w:rsid w:val="00701CDC"/>
    <w:pPr>
      <w:autoSpaceDE/>
      <w:autoSpaceDN/>
    </w:pPr>
    <w:rPr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06A82"/>
    <w:rPr>
      <w:sz w:val="20"/>
      <w:lang w:val="x-none" w:eastAsia="en-US"/>
    </w:rPr>
  </w:style>
  <w:style w:type="character" w:styleId="af">
    <w:name w:val="footnote reference"/>
    <w:basedOn w:val="a0"/>
    <w:uiPriority w:val="99"/>
    <w:semiHidden/>
    <w:rsid w:val="00701CDC"/>
    <w:rPr>
      <w:rFonts w:cs="Times New Roman"/>
      <w:vertAlign w:val="superscript"/>
    </w:rPr>
  </w:style>
  <w:style w:type="paragraph" w:customStyle="1" w:styleId="CG-SingleSp1">
    <w:name w:val="CG-Single Sp 1"/>
    <w:aliases w:val="s3"/>
    <w:basedOn w:val="a"/>
    <w:uiPriority w:val="99"/>
    <w:rsid w:val="00701CDC"/>
    <w:pPr>
      <w:autoSpaceDE/>
      <w:autoSpaceDN/>
      <w:spacing w:after="240"/>
      <w:ind w:firstLine="1440"/>
    </w:pPr>
    <w:rPr>
      <w:sz w:val="24"/>
      <w:lang w:val="en-US"/>
    </w:rPr>
  </w:style>
  <w:style w:type="character" w:styleId="af0">
    <w:name w:val="Hyperlink"/>
    <w:basedOn w:val="a0"/>
    <w:uiPriority w:val="99"/>
    <w:rsid w:val="00701CDC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701CD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234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06A82"/>
    <w:rPr>
      <w:sz w:val="20"/>
      <w:lang w:val="x-none" w:eastAsia="en-US"/>
    </w:rPr>
  </w:style>
  <w:style w:type="paragraph" w:customStyle="1" w:styleId="Style12ptLeft01cm">
    <w:name w:val="Style 12 pt Left:  01 cm"/>
    <w:basedOn w:val="a"/>
    <w:uiPriority w:val="99"/>
    <w:rsid w:val="002521E7"/>
    <w:pPr>
      <w:ind w:left="57"/>
    </w:pPr>
    <w:rPr>
      <w:lang w:eastAsia="ru-RU"/>
    </w:rPr>
  </w:style>
  <w:style w:type="character" w:customStyle="1" w:styleId="Style12pt">
    <w:name w:val="Style 12 pt"/>
    <w:uiPriority w:val="99"/>
    <w:rsid w:val="002C7F00"/>
    <w:rPr>
      <w:sz w:val="22"/>
    </w:rPr>
  </w:style>
  <w:style w:type="paragraph" w:customStyle="1" w:styleId="Style12ptCentered">
    <w:name w:val="Style 12 pt Centered"/>
    <w:basedOn w:val="a"/>
    <w:uiPriority w:val="99"/>
    <w:rsid w:val="002C7F00"/>
    <w:pPr>
      <w:jc w:val="center"/>
    </w:pPr>
    <w:rPr>
      <w:lang w:eastAsia="ru-RU"/>
    </w:rPr>
  </w:style>
  <w:style w:type="paragraph" w:customStyle="1" w:styleId="Style12ptRight">
    <w:name w:val="Style 12 pt Right"/>
    <w:basedOn w:val="a"/>
    <w:uiPriority w:val="99"/>
    <w:rsid w:val="002C7F00"/>
    <w:pPr>
      <w:jc w:val="right"/>
    </w:pPr>
    <w:rPr>
      <w:lang w:eastAsia="ru-RU"/>
    </w:rPr>
  </w:style>
  <w:style w:type="character" w:styleId="af2">
    <w:name w:val="annotation reference"/>
    <w:basedOn w:val="a0"/>
    <w:uiPriority w:val="99"/>
    <w:semiHidden/>
    <w:rsid w:val="00241FE9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241FE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06A82"/>
    <w:rPr>
      <w:sz w:val="20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41F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06A82"/>
    <w:rPr>
      <w:b/>
      <w:sz w:val="20"/>
      <w:lang w:val="x-none" w:eastAsia="en-US"/>
    </w:rPr>
  </w:style>
  <w:style w:type="character" w:customStyle="1" w:styleId="CharChar1">
    <w:name w:val="Char Char1"/>
    <w:uiPriority w:val="99"/>
    <w:semiHidden/>
    <w:locked/>
    <w:rsid w:val="007D7C65"/>
    <w:rPr>
      <w:sz w:val="20"/>
      <w:lang w:val="x-none" w:eastAsia="en-US"/>
    </w:rPr>
  </w:style>
  <w:style w:type="character" w:customStyle="1" w:styleId="Style12ptBoldItalic">
    <w:name w:val="Style 12 pt Bold Italic"/>
    <w:uiPriority w:val="99"/>
    <w:rsid w:val="000F580B"/>
    <w:rPr>
      <w:rFonts w:ascii="Times New Roman" w:hAnsi="Times New Roman"/>
      <w:b/>
      <w:i/>
      <w:sz w:val="22"/>
    </w:rPr>
  </w:style>
  <w:style w:type="character" w:customStyle="1" w:styleId="StyleBoldItalic">
    <w:name w:val="Style Bold Italic"/>
    <w:uiPriority w:val="99"/>
    <w:rsid w:val="00DE727E"/>
    <w:rPr>
      <w:rFonts w:ascii="Times New Roman" w:hAnsi="Times New Roman"/>
      <w:b/>
      <w:i/>
      <w:sz w:val="22"/>
    </w:rPr>
  </w:style>
  <w:style w:type="character" w:customStyle="1" w:styleId="apple-converted-space">
    <w:name w:val="apple-converted-space"/>
    <w:uiPriority w:val="99"/>
    <w:rsid w:val="00455D1D"/>
  </w:style>
  <w:style w:type="character" w:customStyle="1" w:styleId="Subst0">
    <w:name w:val="Subst"/>
    <w:rsid w:val="006759DB"/>
    <w:rPr>
      <w:b/>
      <w:i/>
    </w:rPr>
  </w:style>
  <w:style w:type="character" w:styleId="af7">
    <w:name w:val="Strong"/>
    <w:basedOn w:val="a0"/>
    <w:uiPriority w:val="22"/>
    <w:qFormat/>
    <w:locked/>
    <w:rsid w:val="00486396"/>
    <w:rPr>
      <w:b/>
      <w:bCs/>
    </w:rPr>
  </w:style>
  <w:style w:type="paragraph" w:styleId="af8">
    <w:name w:val="Plain Text"/>
    <w:basedOn w:val="a"/>
    <w:link w:val="af9"/>
    <w:uiPriority w:val="99"/>
    <w:semiHidden/>
    <w:unhideWhenUsed/>
    <w:rsid w:val="00273304"/>
    <w:pPr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af9">
    <w:name w:val="Текст Знак"/>
    <w:basedOn w:val="a0"/>
    <w:link w:val="af8"/>
    <w:uiPriority w:val="99"/>
    <w:semiHidden/>
    <w:rsid w:val="00273304"/>
    <w:rPr>
      <w:rFonts w:ascii="Calibri" w:eastAsiaTheme="minorHAnsi" w:hAnsi="Calibri" w:cstheme="minorBidi"/>
      <w:szCs w:val="21"/>
      <w:lang w:val="en-US" w:eastAsia="en-US"/>
    </w:rPr>
  </w:style>
  <w:style w:type="paragraph" w:styleId="afa">
    <w:name w:val="List Paragraph"/>
    <w:basedOn w:val="a"/>
    <w:uiPriority w:val="34"/>
    <w:qFormat/>
    <w:rsid w:val="00240EF2"/>
    <w:pPr>
      <w:ind w:left="720"/>
      <w:contextualSpacing/>
    </w:pPr>
  </w:style>
  <w:style w:type="paragraph" w:customStyle="1" w:styleId="StyleJustified">
    <w:name w:val="Style Justified"/>
    <w:basedOn w:val="a"/>
    <w:rsid w:val="00B8118C"/>
    <w:pPr>
      <w:spacing w:before="60"/>
      <w:jc w:val="both"/>
    </w:pPr>
  </w:style>
  <w:style w:type="paragraph" w:customStyle="1" w:styleId="Basic2">
    <w:name w:val="Basic 2"/>
    <w:basedOn w:val="a"/>
    <w:rsid w:val="00161815"/>
    <w:pPr>
      <w:autoSpaceDE/>
      <w:autoSpaceDN/>
      <w:ind w:firstLine="680"/>
      <w:jc w:val="both"/>
    </w:pPr>
    <w:rPr>
      <w:b/>
      <w:bCs/>
      <w:i/>
      <w:iCs/>
    </w:rPr>
  </w:style>
  <w:style w:type="paragraph" w:styleId="3">
    <w:name w:val="Body Text 3"/>
    <w:basedOn w:val="a"/>
    <w:link w:val="30"/>
    <w:uiPriority w:val="99"/>
    <w:rsid w:val="00FC4BC8"/>
    <w:pPr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C4BC8"/>
    <w:rPr>
      <w:sz w:val="16"/>
      <w:szCs w:val="16"/>
    </w:rPr>
  </w:style>
  <w:style w:type="character" w:customStyle="1" w:styleId="hl">
    <w:name w:val="hl"/>
    <w:basedOn w:val="a0"/>
    <w:rsid w:val="0080596D"/>
  </w:style>
  <w:style w:type="paragraph" w:customStyle="1" w:styleId="ConsNonformat">
    <w:name w:val="ConsNonformat"/>
    <w:rsid w:val="00B413C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asicChar">
    <w:name w:val="Basic Char"/>
    <w:link w:val="Basic"/>
    <w:locked/>
    <w:rsid w:val="00DB0A0F"/>
    <w:rPr>
      <w:szCs w:val="20"/>
      <w:lang w:eastAsia="en-US"/>
    </w:rPr>
  </w:style>
  <w:style w:type="paragraph" w:customStyle="1" w:styleId="Basic">
    <w:name w:val="Basic"/>
    <w:basedOn w:val="a"/>
    <w:link w:val="BasicChar"/>
    <w:rsid w:val="00DB0A0F"/>
    <w:pPr>
      <w:autoSpaceDE/>
      <w:autoSpaceDN/>
      <w:ind w:firstLine="540"/>
      <w:jc w:val="both"/>
    </w:pPr>
    <w:rPr>
      <w:rFonts w:ascii="Times New Roman" w:hAnsi="Times New Roman"/>
    </w:rPr>
  </w:style>
  <w:style w:type="paragraph" w:customStyle="1" w:styleId="BasicParagraph">
    <w:name w:val="[Basic Paragraph]"/>
    <w:basedOn w:val="a"/>
    <w:uiPriority w:val="99"/>
    <w:rsid w:val="00E9048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holding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nds@vtbcapita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2329</Words>
  <Characters>16876</Characters>
  <Application>Microsoft Office Word</Application>
  <DocSecurity>0</DocSecurity>
  <Lines>140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25</vt:lpstr>
      <vt:lpstr>Приложение 25</vt:lpstr>
    </vt:vector>
  </TitlesOfParts>
  <Company/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Prof-RomanovaAA</dc:creator>
  <cp:lastModifiedBy>Климова Ирина Викторовна</cp:lastModifiedBy>
  <cp:revision>2</cp:revision>
  <cp:lastPrinted>2023-02-15T14:14:00Z</cp:lastPrinted>
  <dcterms:created xsi:type="dcterms:W3CDTF">2026-06-02T07:07:00Z</dcterms:created>
  <dcterms:modified xsi:type="dcterms:W3CDTF">2026-06-02T07:07:00Z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