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B1B2D" w14:textId="77777777" w:rsidR="000D23E5" w:rsidRPr="00563E82" w:rsidRDefault="000D23E5" w:rsidP="002477EA">
      <w:pPr>
        <w:ind w:left="5529"/>
        <w:jc w:val="center"/>
      </w:pPr>
      <w:r w:rsidRPr="00563E82">
        <w:t>ПАО Московская Биржа</w:t>
      </w:r>
    </w:p>
    <w:p w14:paraId="0D0E53A2" w14:textId="77777777" w:rsidR="000D23E5" w:rsidRDefault="000D23E5" w:rsidP="000D23E5">
      <w:pPr>
        <w:pBdr>
          <w:top w:val="single" w:sz="4" w:space="1" w:color="auto"/>
        </w:pBdr>
        <w:spacing w:after="85" w:line="259" w:lineRule="auto"/>
        <w:ind w:left="5544"/>
        <w:rPr>
          <w:sz w:val="20"/>
        </w:rPr>
      </w:pPr>
      <w:r w:rsidRPr="00563E82">
        <w:rPr>
          <w:sz w:val="20"/>
        </w:rPr>
        <w:t>(наименование регистрирующей организации)</w:t>
      </w:r>
    </w:p>
    <w:p w14:paraId="05BE1C90" w14:textId="5ED0E092" w:rsidR="005A6843" w:rsidRDefault="005A6843" w:rsidP="000D23E5"/>
    <w:p w14:paraId="0E4437CE" w14:textId="77777777" w:rsidR="000D23E5" w:rsidRPr="000D23E5" w:rsidRDefault="000D23E5" w:rsidP="000D23E5"/>
    <w:p w14:paraId="3EFDA498" w14:textId="77777777" w:rsidR="000D23E5" w:rsidRPr="000D23E5" w:rsidRDefault="000D23E5" w:rsidP="000D23E5">
      <w:pPr>
        <w:jc w:val="center"/>
        <w:rPr>
          <w:sz w:val="24"/>
        </w:rPr>
      </w:pPr>
      <w:r w:rsidRPr="000D23E5">
        <w:rPr>
          <w:sz w:val="24"/>
        </w:rPr>
        <w:t>РЕШЕНИЕ О ВЫПУСКЕ ЦЕННЫХ БУМАГ</w:t>
      </w:r>
    </w:p>
    <w:p w14:paraId="4C725111" w14:textId="43DFB736" w:rsidR="005A6843" w:rsidRDefault="005A6843" w:rsidP="000D23E5"/>
    <w:p w14:paraId="7884682F" w14:textId="77777777" w:rsidR="000D23E5" w:rsidRDefault="000D23E5" w:rsidP="000D23E5"/>
    <w:p w14:paraId="44B370A8" w14:textId="77777777" w:rsidR="000D23E5" w:rsidRPr="000D23E5" w:rsidRDefault="000D23E5" w:rsidP="000D23E5">
      <w:pPr>
        <w:jc w:val="center"/>
        <w:rPr>
          <w:b/>
          <w:i/>
          <w:sz w:val="28"/>
        </w:rPr>
      </w:pPr>
      <w:r w:rsidRPr="000D23E5">
        <w:rPr>
          <w:b/>
          <w:i/>
          <w:sz w:val="28"/>
        </w:rPr>
        <w:t>акционерное общество «Трансмашхолдинг»</w:t>
      </w:r>
    </w:p>
    <w:p w14:paraId="3DB513C4" w14:textId="30BC5BBC" w:rsidR="005A6843" w:rsidRDefault="005A6843" w:rsidP="000D23E5"/>
    <w:p w14:paraId="45181450" w14:textId="4A935B9C" w:rsidR="000D23E5" w:rsidRDefault="000D23E5" w:rsidP="000D23E5"/>
    <w:p w14:paraId="122E5640" w14:textId="77777777" w:rsidR="000D23E5" w:rsidRPr="000D23E5" w:rsidRDefault="000D23E5" w:rsidP="000D23E5"/>
    <w:p w14:paraId="2E09989B" w14:textId="3DD770E8" w:rsidR="000D23E5" w:rsidRPr="000D23E5" w:rsidRDefault="002477EA" w:rsidP="000D23E5">
      <w:pPr>
        <w:jc w:val="center"/>
        <w:rPr>
          <w:b/>
          <w:i/>
        </w:rPr>
      </w:pPr>
      <w:r w:rsidRPr="000D23E5">
        <w:rPr>
          <w:b/>
          <w:i/>
        </w:rPr>
        <w:t>биржевые облигации неконвертируемые процентные бездокументарные серии ПБО-0</w:t>
      </w:r>
      <w:r w:rsidR="000D23E5" w:rsidRPr="000D23E5">
        <w:rPr>
          <w:b/>
          <w:i/>
        </w:rPr>
        <w:t>8</w:t>
      </w:r>
    </w:p>
    <w:p w14:paraId="3B82122F" w14:textId="23BCD68B" w:rsidR="005A6843" w:rsidRPr="000D23E5" w:rsidRDefault="005A6843" w:rsidP="000D23E5"/>
    <w:p w14:paraId="407642DA" w14:textId="77777777" w:rsidR="002477EA" w:rsidRDefault="002477EA" w:rsidP="000D23E5"/>
    <w:p w14:paraId="6435D17F" w14:textId="77777777" w:rsidR="002477EA" w:rsidRDefault="002477EA" w:rsidP="000D23E5">
      <w:r w:rsidRPr="000D23E5">
        <w:t>на основании</w:t>
      </w:r>
    </w:p>
    <w:p w14:paraId="0AB8131D" w14:textId="77777777" w:rsidR="002477EA" w:rsidRDefault="002477EA" w:rsidP="000D23E5">
      <w:pPr>
        <w:jc w:val="both"/>
      </w:pPr>
      <w:r w:rsidRPr="000D23E5">
        <w:t xml:space="preserve">решения Совета </w:t>
      </w:r>
      <w:r w:rsidRPr="003C55A5">
        <w:t>директоров Закрытого акционерного общества «Трансмашхолдинг</w:t>
      </w:r>
      <w:r>
        <w:t>» об утверждении п</w:t>
      </w:r>
      <w:r w:rsidRPr="000D23E5">
        <w:t>рограммы биржевых облигаций серии П01-</w:t>
      </w:r>
      <w:r w:rsidR="000D23E5">
        <w:t xml:space="preserve">БО, принятого </w:t>
      </w:r>
      <w:r w:rsidRPr="000D23E5">
        <w:t>14</w:t>
      </w:r>
      <w:r w:rsidR="000D23E5">
        <w:t>.12.</w:t>
      </w:r>
      <w:r w:rsidRPr="000D23E5">
        <w:t>2016, протокол от 16</w:t>
      </w:r>
      <w:r w:rsidR="000D23E5">
        <w:t>.12.2016</w:t>
      </w:r>
      <w:r w:rsidRPr="000D23E5">
        <w:t xml:space="preserve"> № б/н. </w:t>
      </w:r>
    </w:p>
    <w:p w14:paraId="74227BE8" w14:textId="7FB2D591" w:rsidR="005A6843" w:rsidRPr="002477EA" w:rsidRDefault="005A6843" w:rsidP="002477EA"/>
    <w:p w14:paraId="52204C93" w14:textId="3C53256A" w:rsidR="000D23E5" w:rsidRPr="00563E82" w:rsidRDefault="000D23E5" w:rsidP="000D23E5">
      <w:pPr>
        <w:jc w:val="both"/>
      </w:pPr>
      <w:r w:rsidRPr="00563E82">
        <w:t>решения Совета директоров акционерного общества «</w:t>
      </w:r>
      <w:r w:rsidRPr="000D23E5">
        <w:t>Трансмашхолдинг</w:t>
      </w:r>
      <w:r w:rsidRPr="00563E82">
        <w:t>» о внесении изменений в </w:t>
      </w:r>
      <w:r w:rsidR="002477EA">
        <w:t>п</w:t>
      </w:r>
      <w:r w:rsidRPr="00563E82">
        <w:t>рограмму биржевых облигаций</w:t>
      </w:r>
      <w:r w:rsidR="002477EA" w:rsidRPr="002477EA">
        <w:t xml:space="preserve"> </w:t>
      </w:r>
      <w:r w:rsidR="002477EA" w:rsidRPr="000D23E5">
        <w:t>серии П01-</w:t>
      </w:r>
      <w:r w:rsidR="002477EA">
        <w:t>БО</w:t>
      </w:r>
      <w:r w:rsidRPr="00563E82">
        <w:t xml:space="preserve">, принятого </w:t>
      </w:r>
      <w:r>
        <w:t>03.02.</w:t>
      </w:r>
      <w:r w:rsidRPr="00563E82">
        <w:t>202</w:t>
      </w:r>
      <w:r>
        <w:t>6</w:t>
      </w:r>
      <w:r w:rsidRPr="00563E82">
        <w:t xml:space="preserve">, протокол от </w:t>
      </w:r>
      <w:r>
        <w:t>03.02.</w:t>
      </w:r>
      <w:r w:rsidRPr="00563E82">
        <w:t>202</w:t>
      </w:r>
      <w:r>
        <w:t xml:space="preserve">6 </w:t>
      </w:r>
      <w:r w:rsidRPr="00563E82">
        <w:t xml:space="preserve">№ </w:t>
      </w:r>
      <w:r w:rsidRPr="000D23E5">
        <w:t>б/н</w:t>
      </w:r>
      <w:r w:rsidRPr="00563E82">
        <w:t>,</w:t>
      </w:r>
    </w:p>
    <w:p w14:paraId="6BBF7EF8" w14:textId="77777777" w:rsidR="000D23E5" w:rsidRPr="000D23E5" w:rsidRDefault="000D23E5" w:rsidP="000D23E5"/>
    <w:p w14:paraId="52C207B1" w14:textId="77777777" w:rsidR="002477EA" w:rsidRDefault="002477EA" w:rsidP="000D23E5"/>
    <w:p w14:paraId="77993A13" w14:textId="2917C3EE" w:rsidR="005A6843" w:rsidRPr="000D23E5" w:rsidRDefault="002477EA" w:rsidP="000D23E5">
      <w:r w:rsidRPr="000D23E5">
        <w:t xml:space="preserve">Место нахождения эмитента (в соответствии с его уставом): </w:t>
      </w:r>
      <w:r w:rsidR="000D23E5" w:rsidRPr="000D23E5">
        <w:t>Российская Федерация, г. Москва</w:t>
      </w:r>
    </w:p>
    <w:p w14:paraId="78ADE811" w14:textId="77777777" w:rsidR="002477EA" w:rsidRDefault="002477EA" w:rsidP="000D23E5"/>
    <w:p w14:paraId="1634E7A0" w14:textId="0B6AD8CE" w:rsidR="005A6843" w:rsidRDefault="005A6843" w:rsidP="000D23E5"/>
    <w:p w14:paraId="1D0BFEB3" w14:textId="05DFB1A1" w:rsidR="002477EA" w:rsidRDefault="002477EA" w:rsidP="000D23E5"/>
    <w:p w14:paraId="71AE23E2" w14:textId="2BAEB594" w:rsidR="002477EA" w:rsidRDefault="002477EA" w:rsidP="000D23E5"/>
    <w:p w14:paraId="6878AA08" w14:textId="3B320611" w:rsidR="002477EA" w:rsidRDefault="002477EA" w:rsidP="000D23E5"/>
    <w:p w14:paraId="091F92AB" w14:textId="77777777" w:rsidR="002477EA" w:rsidRPr="000D23E5" w:rsidRDefault="002477EA" w:rsidP="000D23E5"/>
    <w:p w14:paraId="58EBBF5E" w14:textId="77777777" w:rsidR="000D23E5" w:rsidRPr="002161DE" w:rsidRDefault="000D23E5" w:rsidP="000D23E5">
      <w:r w:rsidRPr="002161DE">
        <w:t>Заместитель генерального директора по экономике и финансам</w:t>
      </w:r>
      <w:r w:rsidRPr="009D102C">
        <w:t xml:space="preserve"> </w:t>
      </w:r>
      <w:r>
        <w:t>АО</w:t>
      </w:r>
      <w:r w:rsidRPr="009D102C">
        <w:t xml:space="preserve"> «</w:t>
      </w:r>
      <w:r>
        <w:t>ТМХ</w:t>
      </w:r>
      <w:r w:rsidRPr="009D102C">
        <w:t>»</w:t>
      </w:r>
      <w:r>
        <w:t>, действующий на основании доверенности № 013</w:t>
      </w:r>
      <w:r w:rsidRPr="002161DE">
        <w:t>/</w:t>
      </w:r>
      <w:r>
        <w:t>26-Д от 05.03.2026</w:t>
      </w:r>
    </w:p>
    <w:p w14:paraId="7219CE89" w14:textId="77777777" w:rsidR="000D23E5" w:rsidRPr="0014093D" w:rsidRDefault="000D23E5" w:rsidP="000D23E5">
      <w:r>
        <w:t>Д.А. Мещеряков</w:t>
      </w:r>
    </w:p>
    <w:p w14:paraId="6ACFC07F" w14:textId="046C1EC7" w:rsidR="005A6843" w:rsidRPr="000D23E5" w:rsidRDefault="005A6843" w:rsidP="000D23E5"/>
    <w:p w14:paraId="6E530600" w14:textId="77777777" w:rsidR="000D23E5" w:rsidRPr="002477EA" w:rsidRDefault="000D23E5" w:rsidP="002477EA">
      <w:pPr>
        <w:rPr>
          <w:rFonts w:eastAsiaTheme="majorEastAsia"/>
        </w:rPr>
      </w:pPr>
      <w:r>
        <w:br w:type="page"/>
      </w:r>
    </w:p>
    <w:p w14:paraId="50DCEC82" w14:textId="77777777" w:rsidR="002477EA" w:rsidRDefault="002477EA" w:rsidP="003544A7">
      <w:pPr>
        <w:pStyle w:val="Heading10"/>
      </w:pPr>
      <w:r w:rsidRPr="003544A7">
        <w:lastRenderedPageBreak/>
        <w:t>Далее в настоящем документе будут использоваться следующие термины:</w:t>
      </w:r>
    </w:p>
    <w:p w14:paraId="324C6010" w14:textId="46A55C90" w:rsidR="009E39CF" w:rsidRDefault="009E39CF" w:rsidP="009E39CF"/>
    <w:tbl>
      <w:tblPr>
        <w:tblStyle w:val="TableGrid0"/>
        <w:tblW w:w="0" w:type="auto"/>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57" w:type="dxa"/>
          <w:bottom w:w="57" w:type="dxa"/>
          <w:right w:w="57" w:type="dxa"/>
        </w:tblCellMar>
        <w:tblLook w:val="04A0" w:firstRow="1" w:lastRow="0" w:firstColumn="1" w:lastColumn="0" w:noHBand="0" w:noVBand="1"/>
      </w:tblPr>
      <w:tblGrid>
        <w:gridCol w:w="3129"/>
        <w:gridCol w:w="6948"/>
      </w:tblGrid>
      <w:tr w:rsidR="009E39CF" w:rsidRPr="009E39CF" w14:paraId="3E5C6B03" w14:textId="77777777" w:rsidTr="002477EA">
        <w:tc>
          <w:tcPr>
            <w:tcW w:w="3129" w:type="dxa"/>
          </w:tcPr>
          <w:p w14:paraId="370E2054" w14:textId="32C3CF01" w:rsidR="009E39CF" w:rsidRPr="009E39CF" w:rsidRDefault="009E39CF" w:rsidP="003C55A5">
            <w:pPr>
              <w:jc w:val="both"/>
              <w:rPr>
                <w:b/>
                <w:i/>
              </w:rPr>
            </w:pPr>
            <w:r w:rsidRPr="009E39CF">
              <w:rPr>
                <w:b/>
                <w:i/>
              </w:rPr>
              <w:t xml:space="preserve">Биржевая облигация </w:t>
            </w:r>
          </w:p>
        </w:tc>
        <w:tc>
          <w:tcPr>
            <w:tcW w:w="6948" w:type="dxa"/>
          </w:tcPr>
          <w:p w14:paraId="33FAFA2D" w14:textId="77777777" w:rsidR="009E39CF" w:rsidRPr="009E39CF" w:rsidRDefault="009E39CF" w:rsidP="003C55A5">
            <w:pPr>
              <w:jc w:val="both"/>
            </w:pPr>
            <w:r w:rsidRPr="009E39CF">
              <w:t>биржевая облигация, размещаемая в рамках настоящего выпуска биржевых облигаций</w:t>
            </w:r>
          </w:p>
        </w:tc>
      </w:tr>
      <w:tr w:rsidR="009E39CF" w:rsidRPr="009E39CF" w14:paraId="2AC840C5" w14:textId="77777777" w:rsidTr="002477EA">
        <w:tc>
          <w:tcPr>
            <w:tcW w:w="3129" w:type="dxa"/>
          </w:tcPr>
          <w:p w14:paraId="7A8223AF" w14:textId="77777777" w:rsidR="009E39CF" w:rsidRPr="002477EA" w:rsidRDefault="009E39CF" w:rsidP="003C55A5">
            <w:pPr>
              <w:jc w:val="both"/>
              <w:rPr>
                <w:b/>
                <w:bCs/>
                <w:i/>
                <w:iCs/>
              </w:rPr>
            </w:pPr>
            <w:r w:rsidRPr="002477EA">
              <w:rPr>
                <w:b/>
                <w:bCs/>
                <w:i/>
                <w:iCs/>
              </w:rPr>
              <w:t>Выпуск</w:t>
            </w:r>
          </w:p>
        </w:tc>
        <w:tc>
          <w:tcPr>
            <w:tcW w:w="6948" w:type="dxa"/>
          </w:tcPr>
          <w:p w14:paraId="6D9FE95B" w14:textId="77777777" w:rsidR="009E39CF" w:rsidRPr="002477EA" w:rsidRDefault="009E39CF" w:rsidP="003C55A5">
            <w:pPr>
              <w:jc w:val="both"/>
            </w:pPr>
            <w:r w:rsidRPr="002477EA">
              <w:t>настоящий выпуск Биржевых облигаций, размещаемых в рамках Программы</w:t>
            </w:r>
          </w:p>
        </w:tc>
      </w:tr>
      <w:tr w:rsidR="009E39CF" w:rsidRPr="009E39CF" w14:paraId="7C3B1285" w14:textId="77777777" w:rsidTr="002477EA">
        <w:tc>
          <w:tcPr>
            <w:tcW w:w="3129" w:type="dxa"/>
          </w:tcPr>
          <w:p w14:paraId="5F699105" w14:textId="77777777" w:rsidR="009E39CF" w:rsidRPr="009E39CF" w:rsidRDefault="009E39CF" w:rsidP="003C55A5">
            <w:pPr>
              <w:jc w:val="both"/>
              <w:rPr>
                <w:b/>
                <w:i/>
              </w:rPr>
            </w:pPr>
            <w:r w:rsidRPr="009E39CF">
              <w:rPr>
                <w:b/>
                <w:i/>
              </w:rPr>
              <w:t>Лента новостей</w:t>
            </w:r>
          </w:p>
        </w:tc>
        <w:tc>
          <w:tcPr>
            <w:tcW w:w="6948" w:type="dxa"/>
          </w:tcPr>
          <w:p w14:paraId="6FED4348" w14:textId="77777777" w:rsidR="009E39CF" w:rsidRPr="009E39CF" w:rsidRDefault="009E39CF" w:rsidP="003C55A5">
            <w:pPr>
              <w:jc w:val="both"/>
            </w:pPr>
            <w:r w:rsidRPr="009E39CF">
              <w:t>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  Страница в Сети Интернет – страница в сети Интернет, предоставляемая Эмитенту одним из аккредитованных агентств, по адресу: https://www.e-disclosure.ru/portal/company.aspx?id=4426</w:t>
            </w:r>
          </w:p>
        </w:tc>
      </w:tr>
      <w:tr w:rsidR="009E39CF" w:rsidRPr="009E39CF" w14:paraId="257C0404" w14:textId="77777777" w:rsidTr="002477EA">
        <w:tc>
          <w:tcPr>
            <w:tcW w:w="3129" w:type="dxa"/>
          </w:tcPr>
          <w:p w14:paraId="014271C8" w14:textId="2CACB7B0" w:rsidR="009E39CF" w:rsidRPr="009E39CF" w:rsidRDefault="009E39CF" w:rsidP="003C55A5">
            <w:pPr>
              <w:jc w:val="both"/>
              <w:rPr>
                <w:b/>
                <w:i/>
              </w:rPr>
            </w:pPr>
            <w:r w:rsidRPr="009E39CF">
              <w:rPr>
                <w:b/>
                <w:i/>
              </w:rPr>
              <w:t>Программа</w:t>
            </w:r>
          </w:p>
        </w:tc>
        <w:tc>
          <w:tcPr>
            <w:tcW w:w="6948" w:type="dxa"/>
          </w:tcPr>
          <w:p w14:paraId="6D13A3B3" w14:textId="124098F7" w:rsidR="009E39CF" w:rsidRPr="009E39CF" w:rsidRDefault="009E39CF" w:rsidP="00C30F80">
            <w:pPr>
              <w:jc w:val="both"/>
            </w:pPr>
            <w:r w:rsidRPr="009E39CF">
              <w:t>программа биржевых облигаций серии П01-БО, имеющая идентификационный номер 4-35992-H-001P-02E от 23.12.2016, в рамках которой размещается настоящий выпуск биржевых облигаций</w:t>
            </w:r>
            <w:bookmarkStart w:id="0" w:name="_GoBack"/>
            <w:bookmarkEnd w:id="0"/>
            <w:r w:rsidRPr="009E39CF">
              <w:t>, с учетом изменений</w:t>
            </w:r>
          </w:p>
        </w:tc>
      </w:tr>
      <w:tr w:rsidR="009E39CF" w:rsidRPr="009E39CF" w14:paraId="70D63915" w14:textId="77777777" w:rsidTr="002477EA">
        <w:tc>
          <w:tcPr>
            <w:tcW w:w="3129" w:type="dxa"/>
          </w:tcPr>
          <w:p w14:paraId="21B2C161" w14:textId="77777777" w:rsidR="009E39CF" w:rsidRPr="009E39CF" w:rsidRDefault="009E39CF" w:rsidP="003C55A5">
            <w:pPr>
              <w:jc w:val="both"/>
              <w:rPr>
                <w:b/>
                <w:i/>
              </w:rPr>
            </w:pPr>
            <w:r w:rsidRPr="009E39CF">
              <w:rPr>
                <w:b/>
                <w:i/>
              </w:rPr>
              <w:t>Решение о выпуске</w:t>
            </w:r>
          </w:p>
        </w:tc>
        <w:tc>
          <w:tcPr>
            <w:tcW w:w="6948" w:type="dxa"/>
          </w:tcPr>
          <w:p w14:paraId="61B17B5B" w14:textId="4531B36B" w:rsidR="009E39CF" w:rsidRPr="009E39CF" w:rsidRDefault="009E39CF" w:rsidP="003C55A5">
            <w:pPr>
              <w:jc w:val="both"/>
            </w:pPr>
            <w:r w:rsidRPr="009E39CF">
              <w:t>настоящее решение о выпуске ценных бумаг в рамках Программы, закрепляющее совокупность имущественных и неимущественных прав в отношении настоящего выпуска биржевых облигаций</w:t>
            </w:r>
          </w:p>
        </w:tc>
      </w:tr>
      <w:tr w:rsidR="0047678A" w:rsidRPr="009E39CF" w14:paraId="06FAFD4E" w14:textId="77777777" w:rsidTr="002477EA">
        <w:tc>
          <w:tcPr>
            <w:tcW w:w="3129" w:type="dxa"/>
          </w:tcPr>
          <w:p w14:paraId="2C0C6347" w14:textId="547ABF91" w:rsidR="0047678A" w:rsidRPr="009E39CF" w:rsidRDefault="0047678A" w:rsidP="003C55A5">
            <w:pPr>
              <w:jc w:val="both"/>
              <w:rPr>
                <w:b/>
                <w:i/>
              </w:rPr>
            </w:pPr>
            <w:r>
              <w:rPr>
                <w:b/>
                <w:i/>
              </w:rPr>
              <w:t>Условия размещения</w:t>
            </w:r>
          </w:p>
        </w:tc>
        <w:tc>
          <w:tcPr>
            <w:tcW w:w="6948" w:type="dxa"/>
          </w:tcPr>
          <w:p w14:paraId="7249742E" w14:textId="19ABB1A2" w:rsidR="0047678A" w:rsidRPr="009E39CF" w:rsidRDefault="00DC4433" w:rsidP="003C55A5">
            <w:pPr>
              <w:jc w:val="both"/>
            </w:pPr>
            <w:r w:rsidRPr="00DC4433">
              <w:t>документ, содержащий условия размещения Биржевых облигаций</w:t>
            </w:r>
          </w:p>
        </w:tc>
      </w:tr>
      <w:tr w:rsidR="009E39CF" w:rsidRPr="009E39CF" w14:paraId="766BFBA0" w14:textId="77777777" w:rsidTr="002477EA">
        <w:tc>
          <w:tcPr>
            <w:tcW w:w="3129" w:type="dxa"/>
          </w:tcPr>
          <w:p w14:paraId="55B89432" w14:textId="77777777" w:rsidR="009E39CF" w:rsidRPr="009E39CF" w:rsidRDefault="009E39CF" w:rsidP="003C55A5">
            <w:pPr>
              <w:jc w:val="both"/>
              <w:rPr>
                <w:b/>
                <w:i/>
              </w:rPr>
            </w:pPr>
            <w:r w:rsidRPr="009E39CF">
              <w:rPr>
                <w:b/>
                <w:i/>
              </w:rPr>
              <w:t>Федеральный закон «О рынке ценных бумаг»</w:t>
            </w:r>
          </w:p>
        </w:tc>
        <w:tc>
          <w:tcPr>
            <w:tcW w:w="6948" w:type="dxa"/>
          </w:tcPr>
          <w:p w14:paraId="251A20E0" w14:textId="77777777" w:rsidR="009E39CF" w:rsidRPr="009E39CF" w:rsidRDefault="009E39CF" w:rsidP="003C55A5">
            <w:pPr>
              <w:jc w:val="both"/>
            </w:pPr>
            <w:r>
              <w:t>Федеральный закон от 22.04.1996 № 39-ФЗ «О рынке ценных бумаг»</w:t>
            </w:r>
          </w:p>
        </w:tc>
      </w:tr>
      <w:tr w:rsidR="009E39CF" w:rsidRPr="009E39CF" w14:paraId="3366013E" w14:textId="77777777" w:rsidTr="002477EA">
        <w:tc>
          <w:tcPr>
            <w:tcW w:w="3129" w:type="dxa"/>
          </w:tcPr>
          <w:p w14:paraId="27A1298E" w14:textId="77777777" w:rsidR="009E39CF" w:rsidRPr="002477EA" w:rsidRDefault="009E39CF" w:rsidP="003C55A5">
            <w:pPr>
              <w:jc w:val="both"/>
              <w:rPr>
                <w:b/>
                <w:bCs/>
                <w:i/>
                <w:iCs/>
              </w:rPr>
            </w:pPr>
            <w:r w:rsidRPr="002477EA">
              <w:rPr>
                <w:b/>
                <w:bCs/>
                <w:i/>
                <w:iCs/>
              </w:rPr>
              <w:t>Эмитент</w:t>
            </w:r>
          </w:p>
        </w:tc>
        <w:tc>
          <w:tcPr>
            <w:tcW w:w="6948" w:type="dxa"/>
          </w:tcPr>
          <w:p w14:paraId="6CC3ECF2" w14:textId="4E27242B" w:rsidR="009E39CF" w:rsidRPr="002477EA" w:rsidRDefault="009E39CF" w:rsidP="00A61E91">
            <w:pPr>
              <w:jc w:val="both"/>
            </w:pPr>
            <w:r w:rsidRPr="002477EA">
              <w:t>акционерное общество «Трансмашхолдинг», АО «</w:t>
            </w:r>
            <w:r w:rsidR="00A61E91">
              <w:t>ТМХ</w:t>
            </w:r>
            <w:r w:rsidRPr="002477EA">
              <w:t>».</w:t>
            </w:r>
          </w:p>
        </w:tc>
      </w:tr>
    </w:tbl>
    <w:p w14:paraId="39246603" w14:textId="77777777" w:rsidR="00EC73EC" w:rsidRPr="00EC73EC" w:rsidRDefault="00EC73EC" w:rsidP="00EC73EC">
      <w:pPr>
        <w:pStyle w:val="BasicBoldItalic"/>
      </w:pPr>
    </w:p>
    <w:p w14:paraId="6B4A6EC7" w14:textId="25514081" w:rsidR="009E39CF" w:rsidRPr="00EC73EC" w:rsidRDefault="009E39CF" w:rsidP="00EC73EC">
      <w:pPr>
        <w:pStyle w:val="BasicBoldItalic"/>
      </w:pPr>
      <w:r w:rsidRPr="00EC73EC">
        <w:t>Иные термины, используемые в Решении о выпуске, имеют значение, определенное в Программе.</w:t>
      </w:r>
    </w:p>
    <w:p w14:paraId="466A1C28" w14:textId="7ED3D468" w:rsidR="002477EA" w:rsidRDefault="002477EA" w:rsidP="002477EA">
      <w:pPr>
        <w:pStyle w:val="Basic"/>
      </w:pPr>
    </w:p>
    <w:p w14:paraId="1F8886CE" w14:textId="126B4C34" w:rsidR="0047678A" w:rsidRDefault="0047678A" w:rsidP="002477EA">
      <w:pPr>
        <w:pStyle w:val="Basic"/>
      </w:pPr>
      <w:r w:rsidRPr="0047678A">
        <w:rPr>
          <w:b/>
          <w:bCs/>
          <w:i/>
          <w:iCs/>
          <w:lang w:bidi="ru-RU"/>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пунктом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 рынке ценных бумаг» в отношении Биржевых облигаций составляется Решение о выпуске и Условия размещения.</w:t>
      </w:r>
    </w:p>
    <w:p w14:paraId="6D7177DF" w14:textId="6FC6F7B4" w:rsidR="00EC73EC" w:rsidRPr="002477EA" w:rsidRDefault="00EC73EC" w:rsidP="002477EA">
      <w:r w:rsidRPr="002477EA">
        <w:br w:type="page"/>
      </w:r>
    </w:p>
    <w:p w14:paraId="6169770F" w14:textId="77777777" w:rsidR="002477EA" w:rsidRDefault="003544A7" w:rsidP="003544A7">
      <w:pPr>
        <w:pStyle w:val="Heading10"/>
      </w:pPr>
      <w:r>
        <w:lastRenderedPageBreak/>
        <w:t xml:space="preserve">1. </w:t>
      </w:r>
      <w:r w:rsidR="002477EA" w:rsidRPr="003544A7">
        <w:t>Вид, категория (тип), идентификационные признаки ценных бумаг</w:t>
      </w:r>
    </w:p>
    <w:p w14:paraId="5613D3C9" w14:textId="58B63704" w:rsidR="009E39CF" w:rsidRPr="00EC73EC" w:rsidRDefault="009E39CF" w:rsidP="00EC73EC">
      <w:pPr>
        <w:pStyle w:val="Basic"/>
      </w:pPr>
      <w:r w:rsidRPr="00EC73EC">
        <w:t>Вид ценных бумаг: биржевые облигации.</w:t>
      </w:r>
    </w:p>
    <w:p w14:paraId="51B0A2A1" w14:textId="77777777" w:rsidR="009E39CF" w:rsidRPr="00EC73EC" w:rsidRDefault="009E39CF" w:rsidP="00EC73EC">
      <w:pPr>
        <w:pStyle w:val="BasicBoldItalic"/>
      </w:pPr>
      <w:r w:rsidRPr="00EC73EC">
        <w:t>Иные идентификационные признаки размещаемых ценных бумаг: биржевые облигации процентные неконвертируемые бездокументарные серии ПБО-08.</w:t>
      </w:r>
    </w:p>
    <w:p w14:paraId="005BE7D0" w14:textId="77777777" w:rsidR="009E39CF" w:rsidRDefault="009E39CF" w:rsidP="009E39CF"/>
    <w:p w14:paraId="4F2CE9F8" w14:textId="77777777" w:rsidR="002477EA" w:rsidRDefault="003544A7" w:rsidP="003544A7">
      <w:pPr>
        <w:pStyle w:val="Heading10"/>
      </w:pPr>
      <w:r>
        <w:t xml:space="preserve">2. </w:t>
      </w:r>
      <w:r w:rsidR="002477EA" w:rsidRPr="003544A7">
        <w:t>Указание на способ учета прав на облигации</w:t>
      </w:r>
    </w:p>
    <w:p w14:paraId="1A52652F" w14:textId="260955CA" w:rsidR="00047BB0" w:rsidRPr="00036596" w:rsidRDefault="00047BB0" w:rsidP="00EC73EC">
      <w:pPr>
        <w:pStyle w:val="BasicBoldItalic"/>
      </w:pPr>
      <w:r w:rsidRPr="00036596">
        <w:t>Предусмотрен централизованный учет прав на Биржевые облигации.</w:t>
      </w:r>
    </w:p>
    <w:p w14:paraId="6600747E" w14:textId="77777777" w:rsidR="00047BB0" w:rsidRPr="00B5436A" w:rsidRDefault="00047BB0" w:rsidP="00047BB0">
      <w:pPr>
        <w:pStyle w:val="Basic"/>
      </w:pPr>
      <w:r w:rsidRPr="00B5436A">
        <w:t>Депозитарий, осуществляющий централизованный учет:</w:t>
      </w:r>
    </w:p>
    <w:tbl>
      <w:tblPr>
        <w:tblStyle w:val="TableGrid0"/>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16"/>
        <w:gridCol w:w="5085"/>
      </w:tblGrid>
      <w:tr w:rsidR="00047BB0" w:rsidRPr="00413785" w14:paraId="12393EBD" w14:textId="77777777" w:rsidTr="006C422D">
        <w:tc>
          <w:tcPr>
            <w:tcW w:w="5116" w:type="dxa"/>
          </w:tcPr>
          <w:p w14:paraId="3A81FD5C" w14:textId="77777777" w:rsidR="00047BB0" w:rsidRPr="00413785" w:rsidRDefault="00047BB0" w:rsidP="006C422D">
            <w:r w:rsidRPr="00413785">
              <w:t xml:space="preserve">Полное фирменное наименование: </w:t>
            </w:r>
          </w:p>
        </w:tc>
        <w:tc>
          <w:tcPr>
            <w:tcW w:w="5085" w:type="dxa"/>
          </w:tcPr>
          <w:p w14:paraId="27E1885E" w14:textId="77777777" w:rsidR="00047BB0" w:rsidRPr="00413785" w:rsidRDefault="00047BB0" w:rsidP="006C422D">
            <w:pPr>
              <w:rPr>
                <w:b/>
                <w:bCs/>
                <w:i/>
                <w:iCs/>
              </w:rPr>
            </w:pPr>
            <w:r w:rsidRPr="00413785">
              <w:rPr>
                <w:b/>
                <w:bCs/>
                <w:i/>
                <w:iCs/>
              </w:rPr>
              <w:t>Небанковская кредитная организация акционерное общество «Национальный расчетный депозитарий»</w:t>
            </w:r>
          </w:p>
        </w:tc>
      </w:tr>
      <w:tr w:rsidR="00047BB0" w:rsidRPr="00413785" w14:paraId="081B0737" w14:textId="77777777" w:rsidTr="006C422D">
        <w:tc>
          <w:tcPr>
            <w:tcW w:w="5116" w:type="dxa"/>
          </w:tcPr>
          <w:p w14:paraId="3928A22A" w14:textId="77777777" w:rsidR="00047BB0" w:rsidRPr="00413785" w:rsidRDefault="00047BB0" w:rsidP="006C422D">
            <w:r w:rsidRPr="00413785">
              <w:t xml:space="preserve">Сокращенное фирменное наименование: </w:t>
            </w:r>
          </w:p>
        </w:tc>
        <w:tc>
          <w:tcPr>
            <w:tcW w:w="5085" w:type="dxa"/>
          </w:tcPr>
          <w:p w14:paraId="66E2065D" w14:textId="77777777" w:rsidR="00047BB0" w:rsidRPr="00413785" w:rsidRDefault="00047BB0" w:rsidP="006C422D">
            <w:pPr>
              <w:rPr>
                <w:b/>
                <w:bCs/>
                <w:i/>
                <w:iCs/>
              </w:rPr>
            </w:pPr>
            <w:r w:rsidRPr="00413785">
              <w:rPr>
                <w:b/>
                <w:bCs/>
                <w:i/>
                <w:iCs/>
              </w:rPr>
              <w:t>НКО АО НРД</w:t>
            </w:r>
          </w:p>
        </w:tc>
      </w:tr>
      <w:tr w:rsidR="00047BB0" w:rsidRPr="00413785" w14:paraId="570A3BE6" w14:textId="77777777" w:rsidTr="006C422D">
        <w:tc>
          <w:tcPr>
            <w:tcW w:w="5116" w:type="dxa"/>
          </w:tcPr>
          <w:p w14:paraId="0FF06BE6" w14:textId="77777777" w:rsidR="00047BB0" w:rsidRPr="00413785" w:rsidRDefault="00047BB0" w:rsidP="006C422D">
            <w:r w:rsidRPr="00413785">
              <w:t xml:space="preserve">Место нахождения: </w:t>
            </w:r>
          </w:p>
        </w:tc>
        <w:tc>
          <w:tcPr>
            <w:tcW w:w="5085" w:type="dxa"/>
          </w:tcPr>
          <w:p w14:paraId="156822C2" w14:textId="77777777" w:rsidR="00047BB0" w:rsidRPr="00413785" w:rsidRDefault="00047BB0" w:rsidP="006C422D">
            <w:pPr>
              <w:rPr>
                <w:b/>
                <w:bCs/>
                <w:i/>
                <w:iCs/>
              </w:rPr>
            </w:pPr>
            <w:r w:rsidRPr="00413785">
              <w:rPr>
                <w:b/>
                <w:bCs/>
                <w:i/>
                <w:iCs/>
              </w:rPr>
              <w:t>Российская Федерация, город Москва</w:t>
            </w:r>
          </w:p>
        </w:tc>
      </w:tr>
      <w:tr w:rsidR="00047BB0" w:rsidRPr="00413785" w14:paraId="06A35700" w14:textId="77777777" w:rsidTr="006C422D">
        <w:tc>
          <w:tcPr>
            <w:tcW w:w="5116" w:type="dxa"/>
          </w:tcPr>
          <w:p w14:paraId="3EA8D513" w14:textId="77777777" w:rsidR="00047BB0" w:rsidRPr="00413785" w:rsidRDefault="00047BB0" w:rsidP="006C422D">
            <w:r w:rsidRPr="00413785">
              <w:t xml:space="preserve">ОГРН: </w:t>
            </w:r>
          </w:p>
        </w:tc>
        <w:tc>
          <w:tcPr>
            <w:tcW w:w="5085" w:type="dxa"/>
          </w:tcPr>
          <w:p w14:paraId="6E0310AB" w14:textId="77777777" w:rsidR="00047BB0" w:rsidRPr="00413785" w:rsidRDefault="00047BB0" w:rsidP="006C422D">
            <w:pPr>
              <w:rPr>
                <w:b/>
                <w:bCs/>
                <w:i/>
                <w:iCs/>
              </w:rPr>
            </w:pPr>
            <w:r w:rsidRPr="00413785">
              <w:rPr>
                <w:b/>
                <w:bCs/>
                <w:i/>
                <w:iCs/>
              </w:rPr>
              <w:t>1027739132563</w:t>
            </w:r>
          </w:p>
        </w:tc>
      </w:tr>
    </w:tbl>
    <w:p w14:paraId="434D5D9D" w14:textId="77777777" w:rsidR="00047BB0" w:rsidRPr="00036596" w:rsidRDefault="00047BB0" w:rsidP="00EC73EC">
      <w:pPr>
        <w:pStyle w:val="BasicBoldItalic"/>
      </w:pPr>
      <w:r w:rsidRPr="00036596">
        <w:t>В случае прекращения деятельности НКО АО НРД (далее также –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6F0A794B" w14:textId="2199D3D4" w:rsidR="005A6843" w:rsidRDefault="005A6843" w:rsidP="00047BB0"/>
    <w:p w14:paraId="1129F51B" w14:textId="77777777" w:rsidR="002477EA" w:rsidRDefault="002477EA" w:rsidP="003544A7">
      <w:pPr>
        <w:pStyle w:val="Heading10"/>
      </w:pPr>
      <w:r w:rsidRPr="003544A7">
        <w:t xml:space="preserve">3. Номинальная стоимость каждой ценной бумаги выпуска </w:t>
      </w:r>
    </w:p>
    <w:p w14:paraId="38C0AD43" w14:textId="0918A2CB" w:rsidR="00047BB0" w:rsidRPr="00036596" w:rsidRDefault="00047BB0" w:rsidP="00EC73EC">
      <w:pPr>
        <w:pStyle w:val="BasicBoldItalic"/>
      </w:pPr>
      <w:r w:rsidRPr="00036596">
        <w:t>1 000 (Одна тысяча) российских рублей.</w:t>
      </w:r>
    </w:p>
    <w:p w14:paraId="52C3BD05" w14:textId="77777777" w:rsidR="00047BB0" w:rsidRPr="00036596" w:rsidRDefault="00047BB0" w:rsidP="00EC73EC">
      <w:pPr>
        <w:pStyle w:val="BasicBoldItalic"/>
      </w:pPr>
      <w:r w:rsidRPr="00036596">
        <w:t>Индексация номинальной стоимости Биржевых облигаций не предусмотрена.</w:t>
      </w:r>
    </w:p>
    <w:p w14:paraId="2A2E8FA5" w14:textId="77777777" w:rsidR="002477EA" w:rsidRDefault="003544A7" w:rsidP="003544A7">
      <w:pPr>
        <w:pStyle w:val="Heading10"/>
      </w:pPr>
      <w:r>
        <w:t xml:space="preserve">4. </w:t>
      </w:r>
      <w:r w:rsidR="002477EA" w:rsidRPr="003544A7">
        <w:t xml:space="preserve">Права владельца каждой ценной бумаги выпуска </w:t>
      </w:r>
    </w:p>
    <w:p w14:paraId="4F80B8F3" w14:textId="11ACB87F" w:rsidR="005A6843" w:rsidRDefault="005A6843" w:rsidP="00036596">
      <w:pPr>
        <w:pStyle w:val="Basic"/>
      </w:pPr>
    </w:p>
    <w:p w14:paraId="72E6B755" w14:textId="77777777" w:rsidR="00047BB0" w:rsidRPr="00413785" w:rsidRDefault="00047BB0" w:rsidP="00EC73EC">
      <w:pPr>
        <w:pStyle w:val="BasicBoldItalic"/>
      </w:pPr>
      <w:r w:rsidRPr="00B5436A">
        <w:t xml:space="preserve">4.1. </w:t>
      </w:r>
      <w:r w:rsidRPr="00036596">
        <w:t>Для</w:t>
      </w:r>
      <w:r w:rsidRPr="00B5436A">
        <w:t xml:space="preserve"> привилегированных акций:</w:t>
      </w:r>
      <w:r w:rsidRPr="00413785">
        <w:t xml:space="preserve"> Не применимо.</w:t>
      </w:r>
    </w:p>
    <w:p w14:paraId="18141F22" w14:textId="77777777" w:rsidR="00047BB0" w:rsidRPr="00036596" w:rsidRDefault="00047BB0" w:rsidP="00036596">
      <w:pPr>
        <w:pStyle w:val="Basic"/>
      </w:pPr>
    </w:p>
    <w:p w14:paraId="56FB1A84" w14:textId="77777777" w:rsidR="00047BB0" w:rsidRPr="00B5436A" w:rsidRDefault="00047BB0" w:rsidP="00047BB0">
      <w:pPr>
        <w:pStyle w:val="Basic"/>
      </w:pPr>
      <w:r w:rsidRPr="00B5436A">
        <w:t>4.2. Для облигаций:</w:t>
      </w:r>
    </w:p>
    <w:p w14:paraId="66105B58" w14:textId="1836935C" w:rsidR="00F41547" w:rsidRPr="00036596" w:rsidRDefault="00F41547" w:rsidP="00EC73EC">
      <w:pPr>
        <w:pStyle w:val="BasicBoldItalic"/>
      </w:pPr>
      <w:r w:rsidRPr="00036596">
        <w:t>Сведения, подлежащие указанию в настоящем пункте, приведены в пункте 7. Программы.</w:t>
      </w:r>
    </w:p>
    <w:p w14:paraId="4DAB103C" w14:textId="77777777" w:rsidR="00036596" w:rsidRDefault="00036596" w:rsidP="00036596">
      <w:pPr>
        <w:pStyle w:val="Basic"/>
      </w:pPr>
    </w:p>
    <w:p w14:paraId="3E5AAABD" w14:textId="58A85AAA" w:rsidR="00036596" w:rsidRDefault="00036596" w:rsidP="00036596">
      <w:pPr>
        <w:pStyle w:val="Basic"/>
      </w:pPr>
      <w:r>
        <w:t>4.2.1.</w:t>
      </w:r>
      <w:r>
        <w:rPr>
          <w:rFonts w:eastAsia="Arial"/>
        </w:rPr>
        <w:t xml:space="preserve"> </w:t>
      </w:r>
      <w:r>
        <w:t>В случае предоставления обеспечения по облигациям выпуска:</w:t>
      </w:r>
    </w:p>
    <w:p w14:paraId="3754F265" w14:textId="77777777" w:rsidR="00036596" w:rsidRPr="00036596" w:rsidRDefault="00036596" w:rsidP="00EC73EC">
      <w:pPr>
        <w:pStyle w:val="BasicBoldItalic"/>
      </w:pPr>
      <w:r w:rsidRPr="00036596">
        <w:t>Предоставление обеспечения по Биржевым облигациям не предусмотрено.</w:t>
      </w:r>
    </w:p>
    <w:p w14:paraId="127B2319" w14:textId="77777777" w:rsidR="00036596" w:rsidRDefault="00036596" w:rsidP="00036596">
      <w:pPr>
        <w:pStyle w:val="Basic"/>
      </w:pPr>
    </w:p>
    <w:p w14:paraId="50E3EF72" w14:textId="1C6CBC29" w:rsidR="00036596" w:rsidRDefault="00036596" w:rsidP="00036596">
      <w:pPr>
        <w:pStyle w:val="Basic"/>
      </w:pPr>
      <w:r>
        <w:t>4.2.2.</w:t>
      </w:r>
      <w:r>
        <w:rPr>
          <w:rFonts w:eastAsia="Arial"/>
        </w:rPr>
        <w:t xml:space="preserve"> </w:t>
      </w:r>
      <w:r>
        <w:t>Для структурных облигаций:</w:t>
      </w:r>
    </w:p>
    <w:p w14:paraId="35F06FF0" w14:textId="77777777" w:rsidR="002477EA" w:rsidRDefault="00036596" w:rsidP="00EC73EC">
      <w:pPr>
        <w:pStyle w:val="BasicBoldItalic"/>
      </w:pPr>
      <w:r w:rsidRPr="00036596">
        <w:t xml:space="preserve">Биржевые облигации не являются структурными облигациями. </w:t>
      </w:r>
    </w:p>
    <w:p w14:paraId="4C8E7752" w14:textId="5749668F" w:rsidR="00036596" w:rsidRDefault="00036596" w:rsidP="00036596">
      <w:pPr>
        <w:pStyle w:val="Basic"/>
      </w:pPr>
    </w:p>
    <w:p w14:paraId="042A2EA6" w14:textId="3D06E510" w:rsidR="00036596" w:rsidRDefault="00036596" w:rsidP="00036596">
      <w:pPr>
        <w:pStyle w:val="Basic"/>
      </w:pPr>
      <w:r>
        <w:t>4.2.3. Для облигаций без срока погашения:</w:t>
      </w:r>
    </w:p>
    <w:p w14:paraId="68926651" w14:textId="77777777" w:rsidR="002477EA" w:rsidRDefault="00036596" w:rsidP="00EC73EC">
      <w:pPr>
        <w:pStyle w:val="BasicBoldItalic"/>
      </w:pPr>
      <w:r w:rsidRPr="00036596">
        <w:t xml:space="preserve">Биржевые облигации не являются облигациями без срока погашения. </w:t>
      </w:r>
    </w:p>
    <w:p w14:paraId="68B80B5D" w14:textId="64032AEB" w:rsidR="00036596" w:rsidRDefault="00036596" w:rsidP="00036596">
      <w:pPr>
        <w:pStyle w:val="Basic"/>
      </w:pPr>
    </w:p>
    <w:p w14:paraId="45E858A4" w14:textId="658CE19C" w:rsidR="00036596" w:rsidRDefault="00036596" w:rsidP="00036596">
      <w:pPr>
        <w:pStyle w:val="Basic"/>
      </w:pPr>
      <w:r>
        <w:t>4.3.</w:t>
      </w:r>
      <w:r>
        <w:rPr>
          <w:rFonts w:eastAsia="Arial"/>
        </w:rPr>
        <w:t xml:space="preserve"> </w:t>
      </w:r>
      <w:r>
        <w:t>Для облигаций с ипотечным покрытием:</w:t>
      </w:r>
    </w:p>
    <w:p w14:paraId="7D9D5AC6" w14:textId="77777777" w:rsidR="00036596" w:rsidRPr="00036596" w:rsidRDefault="00036596" w:rsidP="00EC73EC">
      <w:pPr>
        <w:pStyle w:val="BasicBoldItalic"/>
      </w:pPr>
      <w:r w:rsidRPr="00036596">
        <w:t>Биржевые облигации не являются облигациями с ипотечным покрытием.</w:t>
      </w:r>
    </w:p>
    <w:p w14:paraId="3229DA23" w14:textId="77777777" w:rsidR="00036596" w:rsidRDefault="00036596" w:rsidP="00036596">
      <w:pPr>
        <w:pStyle w:val="Basic"/>
      </w:pPr>
    </w:p>
    <w:p w14:paraId="18B05DE9" w14:textId="5C011FB2" w:rsidR="00036596" w:rsidRDefault="00036596" w:rsidP="00036596">
      <w:pPr>
        <w:pStyle w:val="Basic"/>
      </w:pPr>
      <w:r>
        <w:t>4.4.</w:t>
      </w:r>
      <w:r>
        <w:rPr>
          <w:rFonts w:eastAsia="Arial"/>
        </w:rPr>
        <w:t xml:space="preserve"> </w:t>
      </w:r>
      <w:r>
        <w:t>Для опционов эмитента:</w:t>
      </w:r>
    </w:p>
    <w:p w14:paraId="410F7069" w14:textId="77777777" w:rsidR="00036596" w:rsidRPr="00036596" w:rsidRDefault="00036596" w:rsidP="00EC73EC">
      <w:pPr>
        <w:pStyle w:val="BasicBoldItalic"/>
      </w:pPr>
      <w:r w:rsidRPr="00036596">
        <w:t>Не применимо.</w:t>
      </w:r>
    </w:p>
    <w:p w14:paraId="36C63314" w14:textId="77777777" w:rsidR="00036596" w:rsidRDefault="00036596" w:rsidP="00036596">
      <w:pPr>
        <w:pStyle w:val="Basic"/>
      </w:pPr>
    </w:p>
    <w:p w14:paraId="085851E7" w14:textId="18B6C592" w:rsidR="00036596" w:rsidRDefault="00036596" w:rsidP="00036596">
      <w:pPr>
        <w:pStyle w:val="Basic"/>
      </w:pPr>
      <w:r>
        <w:t>4.5.</w:t>
      </w:r>
      <w:r>
        <w:rPr>
          <w:rFonts w:eastAsia="Arial"/>
        </w:rPr>
        <w:t xml:space="preserve"> </w:t>
      </w:r>
      <w:r>
        <w:t>В случае если размещаемые ценные бумаги являются конвертируемыми ценными бумагами:</w:t>
      </w:r>
    </w:p>
    <w:p w14:paraId="3F4AB1A8" w14:textId="77777777" w:rsidR="00036596" w:rsidRPr="00036596" w:rsidRDefault="00036596" w:rsidP="00EC73EC">
      <w:pPr>
        <w:pStyle w:val="BasicBoldItalic"/>
      </w:pPr>
      <w:r w:rsidRPr="00036596">
        <w:t>Биржевые облигации не являются конвертируемыми ценными бумагами.</w:t>
      </w:r>
    </w:p>
    <w:p w14:paraId="31A609E4" w14:textId="77777777" w:rsidR="00036596" w:rsidRDefault="00036596" w:rsidP="00036596">
      <w:pPr>
        <w:pStyle w:val="Basic"/>
      </w:pPr>
    </w:p>
    <w:p w14:paraId="2F8E505A" w14:textId="4ABC3765" w:rsidR="00036596" w:rsidRDefault="00036596" w:rsidP="00036596">
      <w:pPr>
        <w:pStyle w:val="Basic"/>
      </w:pPr>
      <w:r>
        <w:t>4.6.</w:t>
      </w:r>
      <w:r>
        <w:rPr>
          <w:rFonts w:eastAsia="Arial"/>
        </w:rPr>
        <w:t xml:space="preserve"> </w:t>
      </w:r>
      <w:r>
        <w:t>В случае если размещаемые ценные бумаги являются ценными бумагами, предназначенными для квалифицированных инвесторов:</w:t>
      </w:r>
    </w:p>
    <w:p w14:paraId="01AD49C4" w14:textId="77777777" w:rsidR="00036596" w:rsidRPr="00036596" w:rsidRDefault="00036596" w:rsidP="00EC73EC">
      <w:pPr>
        <w:pStyle w:val="BasicBoldItalic"/>
      </w:pPr>
      <w:r w:rsidRPr="00036596">
        <w:t>Биржевые облигации не являются ценными бумагами, предназначенными для квалифицированных инвесторов.</w:t>
      </w:r>
    </w:p>
    <w:p w14:paraId="536C0F4F" w14:textId="77777777" w:rsidR="002477EA" w:rsidRDefault="002477EA" w:rsidP="002477EA">
      <w:pPr>
        <w:pStyle w:val="Basic"/>
      </w:pPr>
    </w:p>
    <w:p w14:paraId="1890EF5D" w14:textId="77777777" w:rsidR="002477EA" w:rsidRDefault="003544A7" w:rsidP="003544A7">
      <w:pPr>
        <w:pStyle w:val="Heading10"/>
      </w:pPr>
      <w:r>
        <w:t xml:space="preserve">5. </w:t>
      </w:r>
      <w:r w:rsidR="002477EA" w:rsidRPr="003544A7">
        <w:t xml:space="preserve">Порядок и условия погашения и выплаты доходов по облигациям </w:t>
      </w:r>
    </w:p>
    <w:p w14:paraId="581116C2" w14:textId="73943A63" w:rsidR="005A6843" w:rsidRDefault="005A6843" w:rsidP="00EC73EC">
      <w:pPr>
        <w:pStyle w:val="Basic"/>
      </w:pPr>
    </w:p>
    <w:p w14:paraId="1C289037" w14:textId="77777777" w:rsidR="00EC73EC" w:rsidRPr="00413785" w:rsidRDefault="00EC73EC" w:rsidP="00EC73EC">
      <w:pPr>
        <w:pStyle w:val="Basic"/>
      </w:pPr>
      <w:r w:rsidRPr="00413785">
        <w:t>5.1. Форма погашения облигаций</w:t>
      </w:r>
    </w:p>
    <w:p w14:paraId="04822B04" w14:textId="77777777" w:rsidR="002477EA" w:rsidRDefault="002477EA" w:rsidP="00EC73EC">
      <w:pPr>
        <w:pStyle w:val="BasicBoldItalic"/>
      </w:pPr>
      <w:r w:rsidRPr="00EC73EC">
        <w:t>Погашение Биржевых облигаций производится денежными средствами в рублях Российской Федерации в безналичном порядке.</w:t>
      </w:r>
    </w:p>
    <w:p w14:paraId="1E883A6F" w14:textId="77777777" w:rsidR="002477EA" w:rsidRDefault="002477EA" w:rsidP="00EC73EC">
      <w:pPr>
        <w:pStyle w:val="BasicBoldItalic"/>
      </w:pPr>
      <w:r w:rsidRPr="00EC73EC">
        <w:t>Возможность выбора владельцами Биржевых облигаций формы погашения Биржевых облигаций не предусмотрена.</w:t>
      </w:r>
    </w:p>
    <w:p w14:paraId="2121F62E" w14:textId="77777777" w:rsidR="002477EA" w:rsidRDefault="002477EA" w:rsidP="00EC73EC">
      <w:pPr>
        <w:pStyle w:val="BasicBoldItalic"/>
      </w:pPr>
      <w:r w:rsidRPr="00EC73EC">
        <w:t>Биржевые облигации имуществом не погашаются.</w:t>
      </w:r>
    </w:p>
    <w:p w14:paraId="4D318EE6" w14:textId="6B366733" w:rsidR="005A6843" w:rsidRPr="00EC73EC" w:rsidRDefault="005A6843" w:rsidP="00EC73EC">
      <w:pPr>
        <w:pStyle w:val="BasicBoldItalic"/>
      </w:pPr>
    </w:p>
    <w:p w14:paraId="609B63FE" w14:textId="77777777" w:rsidR="00EC73EC" w:rsidRPr="00413785" w:rsidRDefault="00EC73EC" w:rsidP="00EC73EC">
      <w:pPr>
        <w:pStyle w:val="Basic"/>
      </w:pPr>
      <w:r w:rsidRPr="00413785">
        <w:t>5.2. Срок погашения облигаций</w:t>
      </w:r>
    </w:p>
    <w:p w14:paraId="7EEFA8B8" w14:textId="77777777" w:rsidR="002477EA" w:rsidRDefault="002477EA" w:rsidP="00EC73EC">
      <w:pPr>
        <w:pStyle w:val="BasicBoldItalic"/>
      </w:pPr>
      <w:r w:rsidRPr="00EC73EC">
        <w:t xml:space="preserve">Биржевые облигации погашаются в </w:t>
      </w:r>
      <w:r w:rsidR="00EC73EC">
        <w:t>1 080</w:t>
      </w:r>
      <w:r w:rsidRPr="00EC73EC">
        <w:t xml:space="preserve"> день с даты начала размещения Биржевых облигаций. </w:t>
      </w:r>
    </w:p>
    <w:p w14:paraId="70B12304" w14:textId="77777777" w:rsidR="002477EA" w:rsidRDefault="002477EA" w:rsidP="00EC73EC">
      <w:pPr>
        <w:pStyle w:val="BasicBoldItalic"/>
      </w:pPr>
      <w:r w:rsidRPr="00EC73EC">
        <w:t>Даты начала и окончания погашения Биржевых облигаций совпадают.</w:t>
      </w:r>
    </w:p>
    <w:p w14:paraId="51847C8A" w14:textId="77777777" w:rsidR="002477EA" w:rsidRDefault="002477EA" w:rsidP="00EC73EC">
      <w:pPr>
        <w:pStyle w:val="BasicBoldItalic"/>
      </w:pPr>
      <w:r w:rsidRPr="00EC73EC">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0E0FC8F" w14:textId="569948A3" w:rsidR="005A6843" w:rsidRDefault="005A6843" w:rsidP="00EC73EC">
      <w:pPr>
        <w:pStyle w:val="Basic"/>
      </w:pPr>
    </w:p>
    <w:p w14:paraId="6ACA83DD" w14:textId="77777777" w:rsidR="00EC73EC" w:rsidRPr="00413785" w:rsidRDefault="00EC73EC" w:rsidP="00EC73EC">
      <w:pPr>
        <w:pStyle w:val="Basic"/>
      </w:pPr>
      <w:r w:rsidRPr="00413785">
        <w:t>5.3. Порядок и условия погашения облигаций</w:t>
      </w:r>
    </w:p>
    <w:p w14:paraId="0C0E7BBB" w14:textId="061B9D5F" w:rsidR="005A6843" w:rsidRPr="00EC73EC" w:rsidRDefault="005A6843" w:rsidP="00EC73EC">
      <w:pPr>
        <w:pStyle w:val="BasicBoldItalic"/>
      </w:pPr>
    </w:p>
    <w:p w14:paraId="47C1892F" w14:textId="77777777" w:rsidR="002477EA" w:rsidRDefault="002477EA" w:rsidP="00EC73EC">
      <w:pPr>
        <w:pStyle w:val="BasicBoldItalic"/>
      </w:pPr>
      <w:r w:rsidRPr="00EC73EC">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57F9098C" w14:textId="6950D81D" w:rsidR="002477EA" w:rsidRDefault="002477EA" w:rsidP="00EC73EC">
      <w:pPr>
        <w:pStyle w:val="BasicBoldItalic"/>
      </w:pPr>
      <w:r w:rsidRPr="00EC73EC">
        <w:t xml:space="preserve">Погашение Биржевых облигаций производится по номинальной стоимости Биржевых облигаций. </w:t>
      </w:r>
    </w:p>
    <w:p w14:paraId="20DA5C6B" w14:textId="77777777" w:rsidR="002477EA" w:rsidRDefault="002477EA" w:rsidP="00EC73EC">
      <w:pPr>
        <w:pStyle w:val="BasicBoldItalic"/>
      </w:pPr>
      <w:r w:rsidRPr="00EC73EC">
        <w:t xml:space="preserve">Эмитент исполняет обязанность по осуществлению выплат по Биржевым облигациям в счет погашения путем перечисления денежных средств депозитарию, осуществляющему централизованный учет прав на Биржевые облигации. </w:t>
      </w:r>
    </w:p>
    <w:p w14:paraId="5F37FFD6" w14:textId="77777777" w:rsidR="002477EA" w:rsidRDefault="002477EA" w:rsidP="00EC73EC">
      <w:pPr>
        <w:pStyle w:val="BasicBoldItalic"/>
      </w:pPr>
      <w:r w:rsidRPr="00EC73EC">
        <w:t>При погашении Биржевых облигаций выплачивается также купонный доход за последний купонный период.</w:t>
      </w:r>
    </w:p>
    <w:p w14:paraId="03CC968F" w14:textId="77777777" w:rsidR="002477EA" w:rsidRDefault="002477EA" w:rsidP="00EC73EC">
      <w:pPr>
        <w:pStyle w:val="BasicBoldItalic"/>
      </w:pPr>
      <w:r w:rsidRPr="00EC73EC">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7813BDE6" w14:textId="77777777" w:rsidR="002477EA" w:rsidRDefault="002477EA" w:rsidP="00EC73EC">
      <w:pPr>
        <w:pStyle w:val="BasicBoldItalic"/>
      </w:pPr>
      <w:r w:rsidRPr="00EC73EC">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 </w:t>
      </w:r>
    </w:p>
    <w:p w14:paraId="6193C165" w14:textId="77777777" w:rsidR="002477EA" w:rsidRDefault="002477EA" w:rsidP="00EC73EC">
      <w:pPr>
        <w:pStyle w:val="BasicBoldItalic"/>
      </w:pPr>
      <w:r w:rsidRPr="00EC73EC">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Биржевые облигации.</w:t>
      </w:r>
    </w:p>
    <w:p w14:paraId="7C6F2D88" w14:textId="77777777" w:rsidR="002477EA" w:rsidRDefault="002477EA" w:rsidP="00EC73EC">
      <w:pPr>
        <w:pStyle w:val="Basic"/>
      </w:pPr>
    </w:p>
    <w:p w14:paraId="65EDDBD2" w14:textId="77777777" w:rsidR="00EC73EC" w:rsidRPr="00413785" w:rsidRDefault="00EC73EC" w:rsidP="00EC73EC">
      <w:pPr>
        <w:pStyle w:val="Basic"/>
      </w:pPr>
      <w:r w:rsidRPr="00413785">
        <w:t>5.3.1. Порядок определения выплат по каждой структурной облигации при ее погашении</w:t>
      </w:r>
    </w:p>
    <w:p w14:paraId="7116F4D5" w14:textId="77777777" w:rsidR="00EC73EC" w:rsidRPr="00413785" w:rsidRDefault="00EC73EC" w:rsidP="002477EA">
      <w:pPr>
        <w:pStyle w:val="BasicBoldItalic"/>
      </w:pPr>
      <w:bookmarkStart w:id="1" w:name="P190"/>
      <w:bookmarkEnd w:id="1"/>
      <w:r w:rsidRPr="00413785">
        <w:t>Не применимо. Биржевые облигации не являются структурными облигациями.</w:t>
      </w:r>
    </w:p>
    <w:p w14:paraId="51E43200" w14:textId="3EEE60DC" w:rsidR="005A6843" w:rsidRDefault="005A6843" w:rsidP="002477EA">
      <w:pPr>
        <w:pStyle w:val="Basic"/>
      </w:pPr>
    </w:p>
    <w:p w14:paraId="7A15E013" w14:textId="77777777" w:rsidR="00EC73EC" w:rsidRPr="00413785" w:rsidRDefault="00EC73EC" w:rsidP="00EC73EC">
      <w:pPr>
        <w:pStyle w:val="Basic"/>
      </w:pPr>
      <w:r w:rsidRPr="00413785">
        <w:t>5.4. Порядок определения дохода, выплачиваемого по каждой облигации</w:t>
      </w:r>
    </w:p>
    <w:p w14:paraId="6AA47AF5" w14:textId="18D3509F" w:rsidR="005A6843" w:rsidRDefault="005A6843" w:rsidP="00EC73EC">
      <w:pPr>
        <w:pStyle w:val="Basic"/>
      </w:pPr>
    </w:p>
    <w:p w14:paraId="46D17189" w14:textId="178D7D22" w:rsidR="002477EA" w:rsidRDefault="002477EA" w:rsidP="00EC73EC">
      <w:pPr>
        <w:pStyle w:val="BasicBoldItalic"/>
      </w:pPr>
      <w:r w:rsidRPr="00EC73EC">
        <w:t xml:space="preserve">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7C5DA47D" w14:textId="5032C58C" w:rsidR="00EC73EC" w:rsidRPr="000219DF" w:rsidRDefault="00EC73EC" w:rsidP="000219DF">
      <w:pPr>
        <w:pStyle w:val="Basic"/>
      </w:pPr>
    </w:p>
    <w:p w14:paraId="40043CFC" w14:textId="66106E12" w:rsidR="00EC73EC" w:rsidRPr="00413785" w:rsidRDefault="00EC73EC" w:rsidP="002477EA">
      <w:pPr>
        <w:pStyle w:val="BasicBoldItalic"/>
      </w:pPr>
      <w:r w:rsidRPr="000219DF">
        <w:t>Количество купонных периодов Биржевых облигаций</w:t>
      </w:r>
      <w:r w:rsidR="000219DF">
        <w:t>:</w:t>
      </w:r>
      <w:r w:rsidRPr="00413785">
        <w:t xml:space="preserve"> </w:t>
      </w:r>
      <w:r>
        <w:t>3</w:t>
      </w:r>
      <w:r w:rsidRPr="00EC73EC">
        <w:t>6</w:t>
      </w:r>
      <w:r w:rsidRPr="00413785">
        <w:t>.</w:t>
      </w:r>
    </w:p>
    <w:p w14:paraId="7DA45C92" w14:textId="683FBB9B" w:rsidR="00EC73EC" w:rsidRPr="002477EA" w:rsidRDefault="00EC73EC" w:rsidP="002477EA">
      <w:pPr>
        <w:pStyle w:val="BasicBoldItalic"/>
      </w:pPr>
      <w:r w:rsidRPr="002477EA">
        <w:t>Длительность каждого из купонных периодов</w:t>
      </w:r>
      <w:r w:rsidR="000219DF" w:rsidRPr="002477EA">
        <w:t>:</w:t>
      </w:r>
      <w:r w:rsidRPr="002477EA">
        <w:t xml:space="preserve"> 30 дней с даты начала соответствующего купонного периода.</w:t>
      </w:r>
    </w:p>
    <w:p w14:paraId="6BFD8143" w14:textId="77777777" w:rsidR="002477EA" w:rsidRDefault="002477EA" w:rsidP="00EC73EC">
      <w:pPr>
        <w:pStyle w:val="BasicBoldItalic"/>
      </w:pPr>
    </w:p>
    <w:p w14:paraId="0F5A9036" w14:textId="77777777" w:rsidR="002477EA" w:rsidRDefault="00EC73EC" w:rsidP="00EC73EC">
      <w:pPr>
        <w:pStyle w:val="Basic"/>
      </w:pPr>
      <w:r w:rsidRPr="00413785">
        <w:t>Дата начала каждого купонного периода определяется по формуле:</w:t>
      </w:r>
    </w:p>
    <w:p w14:paraId="035738CD" w14:textId="7754E823" w:rsidR="00EC73EC" w:rsidRPr="00413785" w:rsidRDefault="00EC73EC" w:rsidP="00EC73EC">
      <w:pPr>
        <w:pStyle w:val="BasicBoldItalic"/>
      </w:pPr>
      <w:r w:rsidRPr="00413785">
        <w:t>ДНКП(i) = ДНР + 30 * (i-1), где</w:t>
      </w:r>
    </w:p>
    <w:p w14:paraId="442ACD17" w14:textId="77777777" w:rsidR="00EC73EC" w:rsidRPr="00413785" w:rsidRDefault="00EC73EC" w:rsidP="00EC73EC">
      <w:pPr>
        <w:pStyle w:val="BasicBoldItalic"/>
      </w:pPr>
      <w:r w:rsidRPr="00413785">
        <w:t>ДНР – дата начала размещения Биржевых облигаций;</w:t>
      </w:r>
    </w:p>
    <w:p w14:paraId="390AC32C" w14:textId="214B8367" w:rsidR="00EC73EC" w:rsidRPr="00413785" w:rsidRDefault="00EC73EC" w:rsidP="00EC73EC">
      <w:pPr>
        <w:pStyle w:val="BasicBoldItalic"/>
      </w:pPr>
      <w:r w:rsidRPr="00413785">
        <w:t>i - порядковый номер соответствующего купонного периода, (i=1,2,3,…,</w:t>
      </w:r>
      <w:r>
        <w:t>3</w:t>
      </w:r>
      <w:r w:rsidRPr="00EC73EC">
        <w:t>6</w:t>
      </w:r>
      <w:r>
        <w:t>);</w:t>
      </w:r>
    </w:p>
    <w:p w14:paraId="6CEE4453" w14:textId="77777777" w:rsidR="00EC73EC" w:rsidRPr="00413785" w:rsidRDefault="00EC73EC" w:rsidP="00EC73EC">
      <w:pPr>
        <w:pStyle w:val="BasicBoldItalic"/>
      </w:pPr>
      <w:r w:rsidRPr="00413785">
        <w:t>ДНКП(i) – дата начала i-го купонного периода.</w:t>
      </w:r>
    </w:p>
    <w:p w14:paraId="0BC02016" w14:textId="77777777" w:rsidR="00EC73EC" w:rsidRPr="00413785" w:rsidRDefault="00EC73EC" w:rsidP="00EC73EC">
      <w:pPr>
        <w:pStyle w:val="BasicBoldItalic"/>
      </w:pPr>
    </w:p>
    <w:p w14:paraId="63F724B2" w14:textId="77777777" w:rsidR="002477EA" w:rsidRDefault="00EC73EC" w:rsidP="00EC73EC">
      <w:pPr>
        <w:pStyle w:val="Basic"/>
      </w:pPr>
      <w:r w:rsidRPr="00413785">
        <w:t>Дата окончания каждого купонного периода определяется по формуле:</w:t>
      </w:r>
    </w:p>
    <w:p w14:paraId="43C5734C" w14:textId="205B2715" w:rsidR="00EC73EC" w:rsidRPr="00413785" w:rsidRDefault="00EC73EC" w:rsidP="00EC73EC">
      <w:pPr>
        <w:pStyle w:val="BasicBoldItalic"/>
      </w:pPr>
      <w:r w:rsidRPr="00413785">
        <w:t>ДОКП(i) = ДНР + 30 * i, где</w:t>
      </w:r>
    </w:p>
    <w:p w14:paraId="08E5019B" w14:textId="77777777" w:rsidR="00EC73EC" w:rsidRPr="00413785" w:rsidRDefault="00EC73EC" w:rsidP="00EC73EC">
      <w:pPr>
        <w:pStyle w:val="BasicBoldItalic"/>
      </w:pPr>
      <w:r w:rsidRPr="00413785">
        <w:t>ДНР – дата начала размещения Биржевых облигаций;</w:t>
      </w:r>
    </w:p>
    <w:p w14:paraId="547B465D" w14:textId="1DFD3A2D" w:rsidR="00EC73EC" w:rsidRPr="00413785" w:rsidRDefault="00EC73EC" w:rsidP="00EC73EC">
      <w:pPr>
        <w:pStyle w:val="BasicBoldItalic"/>
      </w:pPr>
      <w:r w:rsidRPr="00413785">
        <w:t>i - порядковый номер соответствующего купонного периода, (i=1,2,3,…,</w:t>
      </w:r>
      <w:r>
        <w:t>3</w:t>
      </w:r>
      <w:r w:rsidRPr="00EC73EC">
        <w:t>6</w:t>
      </w:r>
      <w:r>
        <w:t>);</w:t>
      </w:r>
    </w:p>
    <w:p w14:paraId="18473A53" w14:textId="77777777" w:rsidR="00EC73EC" w:rsidRPr="00413785" w:rsidRDefault="00EC73EC" w:rsidP="00EC73EC">
      <w:pPr>
        <w:pStyle w:val="BasicBoldItalic"/>
      </w:pPr>
      <w:r w:rsidRPr="00413785">
        <w:t>ДОКП(i) – дата окончания i-го купонного периода.</w:t>
      </w:r>
    </w:p>
    <w:p w14:paraId="7F954223" w14:textId="77777777" w:rsidR="00EC73EC" w:rsidRDefault="00EC73EC" w:rsidP="00EC73EC">
      <w:pPr>
        <w:pStyle w:val="BasicBoldItalic"/>
      </w:pPr>
    </w:p>
    <w:p w14:paraId="08C1C4A5" w14:textId="77777777" w:rsidR="00EC73EC" w:rsidRPr="00413785" w:rsidRDefault="00EC73EC" w:rsidP="00EC73EC">
      <w:pPr>
        <w:pStyle w:val="Basic"/>
      </w:pPr>
      <w:r w:rsidRPr="00413785">
        <w:t>Расчет суммы выплат купонного дохода за каждый купонный период на одну Биржевую облигацию производится по следующей формуле:</w:t>
      </w:r>
    </w:p>
    <w:p w14:paraId="2999A383" w14:textId="77777777" w:rsidR="002477EA" w:rsidRDefault="00190C1F" w:rsidP="002477EA">
      <w:pPr>
        <w:pStyle w:val="BasicBoldItalic"/>
      </w:pPr>
      <m:oMathPara>
        <m:oMath>
          <m:sSub>
            <m:sSubPr>
              <m:ctrlPr>
                <w:rPr>
                  <w:rFonts w:ascii="Cambria Math" w:hAnsi="Cambria Math"/>
                </w:rPr>
              </m:ctrlPr>
            </m:sSubPr>
            <m:e>
              <m:r>
                <m:rPr>
                  <m:sty m:val="bi"/>
                </m:rPr>
                <w:rPr>
                  <w:rFonts w:ascii="Cambria Math" w:hAnsi="Cambria Math"/>
                </w:rPr>
                <m:t>КД</m:t>
              </m:r>
            </m:e>
            <m:sub>
              <m:r>
                <m:rPr>
                  <m:sty m:val="bi"/>
                </m:rPr>
                <w:rPr>
                  <w:rFonts w:ascii="Cambria Math" w:hAnsi="Cambria Math"/>
                </w:rPr>
                <m:t>i</m:t>
              </m:r>
            </m:sub>
          </m:sSub>
          <m:r>
            <m:rPr>
              <m:sty m:val="bi"/>
            </m:rPr>
            <w:rPr>
              <w:rFonts w:ascii="Cambria Math" w:hAnsi="Cambria Math"/>
            </w:rPr>
            <m:t>=</m:t>
          </m:r>
          <m:nary>
            <m:naryPr>
              <m:chr m:val="∑"/>
              <m:limLoc m:val="subSup"/>
              <m:grow m:val="1"/>
              <m:ctrlPr>
                <w:rPr>
                  <w:rFonts w:ascii="Cambria Math" w:hAnsi="Cambria Math"/>
                </w:rPr>
              </m:ctrlPr>
            </m:naryPr>
            <m:sub>
              <m:sSub>
                <m:sSubPr>
                  <m:ctrlPr>
                    <w:rPr>
                      <w:rFonts w:ascii="Cambria Math" w:hAnsi="Cambria Math"/>
                    </w:rPr>
                  </m:ctrlPr>
                </m:sSubPr>
                <m:e>
                  <m:r>
                    <m:rPr>
                      <m:sty m:val="bi"/>
                    </m:rPr>
                    <w:rPr>
                      <w:rFonts w:ascii="Cambria Math" w:hAnsi="Cambria Math"/>
                    </w:rPr>
                    <m:t>D</m:t>
                  </m:r>
                </m:e>
                <m:sub>
                  <m:r>
                    <m:rPr>
                      <m:sty m:val="bi"/>
                    </m:rPr>
                    <w:rPr>
                      <w:rFonts w:ascii="Cambria Math" w:hAnsi="Cambria Math"/>
                    </w:rPr>
                    <m:t>ij</m:t>
                  </m:r>
                </m:sub>
              </m:sSub>
              <m:r>
                <m:rPr>
                  <m:sty m:val="bi"/>
                </m:rPr>
                <w:rPr>
                  <w:rFonts w:ascii="Cambria Math" w:hAnsi="Cambria Math"/>
                </w:rPr>
                <m:t>=D</m:t>
              </m:r>
              <m:r>
                <m:rPr>
                  <m:sty m:val="bi"/>
                </m:rPr>
                <w:rPr>
                  <w:rFonts w:ascii="Cambria Math" w:hAnsi="Cambria Math"/>
                  <w:lang w:val="en-US"/>
                </w:rPr>
                <m:t>i</m:t>
              </m:r>
              <m:r>
                <m:rPr>
                  <m:sty m:val="bi"/>
                </m:rPr>
                <w:rPr>
                  <w:rFonts w:ascii="Cambria Math" w:hAnsi="Cambria Math"/>
                </w:rPr>
                <m:t xml:space="preserve">0+1 </m:t>
              </m:r>
            </m:sub>
            <m:sup>
              <m:r>
                <m:rPr>
                  <m:sty m:val="bi"/>
                </m:rPr>
                <w:rPr>
                  <w:rFonts w:ascii="Cambria Math" w:hAnsi="Cambria Math"/>
                </w:rPr>
                <m:t>Di</m:t>
              </m:r>
              <m:r>
                <m:rPr>
                  <m:sty m:val="bi"/>
                </m:rPr>
                <w:rPr>
                  <w:rFonts w:ascii="Cambria Math" w:hAnsi="Cambria Math"/>
                </w:rPr>
                <m:t>0+</m:t>
              </m:r>
              <m:r>
                <m:rPr>
                  <m:sty m:val="bi"/>
                </m:rPr>
                <w:rPr>
                  <w:rFonts w:ascii="Cambria Math" w:hAnsi="Cambria Math"/>
                  <w:lang w:val="en-US"/>
                </w:rPr>
                <m:t>Ti</m:t>
              </m:r>
              <m:r>
                <m:rPr>
                  <m:sty m:val="bi"/>
                </m:rPr>
                <w:rPr>
                  <w:rFonts w:ascii="Cambria Math" w:hAnsi="Cambria Math"/>
                </w:rPr>
                <m:t xml:space="preserve"> </m:t>
              </m:r>
            </m:sup>
            <m:e>
              <m:sSub>
                <m:sSubPr>
                  <m:ctrlPr>
                    <w:rPr>
                      <w:rFonts w:ascii="Cambria Math" w:hAnsi="Cambria Math"/>
                    </w:rPr>
                  </m:ctrlPr>
                </m:sSubPr>
                <m:e>
                  <m:r>
                    <m:rPr>
                      <m:sty m:val="bi"/>
                    </m:rPr>
                    <w:rPr>
                      <w:rFonts w:ascii="Cambria Math" w:hAnsi="Cambria Math"/>
                    </w:rPr>
                    <m:t>Д</m:t>
                  </m:r>
                </m:e>
                <m:sub>
                  <m:r>
                    <m:rPr>
                      <m:sty m:val="bi"/>
                    </m:rPr>
                    <w:rPr>
                      <w:rFonts w:ascii="Cambria Math" w:hAnsi="Cambria Math"/>
                      <w:lang w:val="en-US"/>
                    </w:rPr>
                    <m:t>Dij</m:t>
                  </m:r>
                </m:sub>
              </m:sSub>
            </m:e>
          </m:nary>
        </m:oMath>
      </m:oMathPara>
    </w:p>
    <w:p w14:paraId="7BD37B40" w14:textId="77777777" w:rsidR="002477EA" w:rsidRDefault="00EC73EC" w:rsidP="002477EA">
      <w:pPr>
        <w:pStyle w:val="BasicBoldItalic"/>
      </w:pPr>
      <w:r w:rsidRPr="00413785">
        <w:t>где:</w:t>
      </w:r>
    </w:p>
    <w:p w14:paraId="6C91E225" w14:textId="77777777" w:rsidR="002477EA" w:rsidRDefault="00190C1F" w:rsidP="000219DF">
      <w:pPr>
        <w:pStyle w:val="BasicBoldItalic"/>
      </w:pPr>
      <m:oMath>
        <m:sSub>
          <m:sSubPr>
            <m:ctrlPr>
              <w:rPr>
                <w:rFonts w:ascii="Cambria Math" w:hAnsi="Cambria Math"/>
              </w:rPr>
            </m:ctrlPr>
          </m:sSubPr>
          <m:e>
            <m:r>
              <m:rPr>
                <m:sty m:val="bi"/>
              </m:rPr>
              <w:rPr>
                <w:rFonts w:ascii="Cambria Math" w:hAnsi="Cambria Math"/>
              </w:rPr>
              <m:t>КД</m:t>
            </m:r>
          </m:e>
          <m:sub>
            <m:r>
              <m:rPr>
                <m:sty m:val="bi"/>
              </m:rPr>
              <w:rPr>
                <w:rFonts w:ascii="Cambria Math" w:hAnsi="Cambria Math"/>
              </w:rPr>
              <m:t>i</m:t>
            </m:r>
          </m:sub>
        </m:sSub>
      </m:oMath>
      <w:r w:rsidR="00EC73EC" w:rsidRPr="00413785">
        <w:t xml:space="preserve"> – размер купонного дохода по каждой Биржевой облигации по i-му купонному периоду, в российских рублях;</w:t>
      </w:r>
    </w:p>
    <w:p w14:paraId="34714EF8" w14:textId="7B2C464D" w:rsidR="00EC73EC" w:rsidRPr="00413785" w:rsidRDefault="00EC73EC" w:rsidP="002477EA">
      <w:pPr>
        <w:pStyle w:val="BasicBoldItalic"/>
      </w:pPr>
      <w:r w:rsidRPr="00413785">
        <w:t>i – порядковый номер соответствующег</w:t>
      </w:r>
      <w:r>
        <w:t>о купонного периода (i=1,2,3,…,3</w:t>
      </w:r>
      <w:r w:rsidRPr="00EC73EC">
        <w:t>6</w:t>
      </w:r>
      <w:r w:rsidRPr="00413785">
        <w:t>);</w:t>
      </w:r>
    </w:p>
    <w:p w14:paraId="3E61E54C" w14:textId="77777777" w:rsidR="002477EA" w:rsidRDefault="00EC73EC" w:rsidP="000219DF">
      <w:pPr>
        <w:pStyle w:val="BasicBoldItalic"/>
      </w:pPr>
      <m:oMath>
        <m:r>
          <m:rPr>
            <m:sty m:val="bi"/>
          </m:rPr>
          <w:rPr>
            <w:rFonts w:ascii="Cambria Math" w:hAnsi="Cambria Math"/>
          </w:rPr>
          <m:t>Di</m:t>
        </m:r>
        <m:r>
          <m:rPr>
            <m:sty m:val="bi"/>
          </m:rPr>
          <w:rPr>
            <w:rFonts w:ascii="Cambria Math" w:hAnsi="Cambria Math"/>
          </w:rPr>
          <m:t>0</m:t>
        </m:r>
      </m:oMath>
      <w:r w:rsidRPr="00413785">
        <w:t xml:space="preserve"> – дата начала i-го купонного периода Биржевых облигаций;</w:t>
      </w:r>
    </w:p>
    <w:p w14:paraId="27556A0C" w14:textId="77777777" w:rsidR="002477EA" w:rsidRDefault="00EC73EC" w:rsidP="000219DF">
      <w:pPr>
        <w:pStyle w:val="BasicBoldItalic"/>
      </w:pPr>
      <m:oMath>
        <m:r>
          <m:rPr>
            <m:sty m:val="bi"/>
          </m:rPr>
          <w:rPr>
            <w:rFonts w:ascii="Cambria Math" w:hAnsi="Cambria Math"/>
          </w:rPr>
          <m:t>Di</m:t>
        </m:r>
        <m:r>
          <m:rPr>
            <m:sty m:val="bi"/>
          </m:rPr>
          <w:rPr>
            <w:rFonts w:ascii="Cambria Math" w:hAnsi="Cambria Math"/>
          </w:rPr>
          <m:t>0+1</m:t>
        </m:r>
      </m:oMath>
      <w:r>
        <w:t xml:space="preserve"> </w:t>
      </w:r>
      <w:r w:rsidRPr="00413785">
        <w:t>– дата, следующая за датой начала i-го купонного периода Биржевых облигаций;</w:t>
      </w:r>
    </w:p>
    <w:p w14:paraId="6F74CB4A" w14:textId="4CA66AA0" w:rsidR="00EC73EC" w:rsidRPr="00413785" w:rsidRDefault="00EC73EC" w:rsidP="000219DF">
      <w:pPr>
        <w:pStyle w:val="BasicBoldItalic"/>
      </w:pPr>
      <m:oMath>
        <m:r>
          <m:rPr>
            <m:sty m:val="bi"/>
          </m:rPr>
          <w:rPr>
            <w:rFonts w:ascii="Cambria Math" w:hAnsi="Cambria Math"/>
          </w:rPr>
          <m:t>Ti</m:t>
        </m:r>
      </m:oMath>
      <w:r w:rsidRPr="00413785">
        <w:t xml:space="preserve"> – длительность i-го купонного периода Биржевых облигаций, в днях.</w:t>
      </w:r>
    </w:p>
    <w:p w14:paraId="6EA7BC4F" w14:textId="77777777" w:rsidR="00EC73EC" w:rsidRDefault="00EC73EC" w:rsidP="000219DF">
      <w:pPr>
        <w:pStyle w:val="BasicBoldItalic"/>
      </w:pPr>
      <w:r w:rsidRPr="00CF586E">
        <w:t>Dij – календарная дата, приходящаяся на каждый (за исключением первого) j-й день i-го купонного периода, на которую рассчитывается доход</w:t>
      </w:r>
      <w:r w:rsidRPr="00413785">
        <w:t>.</w:t>
      </w:r>
    </w:p>
    <w:p w14:paraId="204C4182" w14:textId="77777777" w:rsidR="002477EA" w:rsidRDefault="00EC73EC" w:rsidP="000219DF">
      <w:pPr>
        <w:pStyle w:val="BasicBoldItalic"/>
      </w:pPr>
      <w:r w:rsidRPr="00413785">
        <w:t xml:space="preserve">Величина </w:t>
      </w:r>
      <m:oMath>
        <m:sSub>
          <m:sSubPr>
            <m:ctrlPr>
              <w:rPr>
                <w:rFonts w:ascii="Cambria Math" w:hAnsi="Cambria Math"/>
              </w:rPr>
            </m:ctrlPr>
          </m:sSubPr>
          <m:e>
            <m:r>
              <m:rPr>
                <m:sty m:val="bi"/>
              </m:rPr>
              <w:rPr>
                <w:rFonts w:ascii="Cambria Math" w:hAnsi="Cambria Math"/>
              </w:rPr>
              <m:t>КД</m:t>
            </m:r>
          </m:e>
          <m:sub>
            <m:r>
              <m:rPr>
                <m:sty m:val="bi"/>
              </m:rPr>
              <w:rPr>
                <w:rFonts w:ascii="Cambria Math" w:hAnsi="Cambria Math"/>
              </w:rPr>
              <m:t>i</m:t>
            </m:r>
          </m:sub>
        </m:sSub>
      </m:oMath>
      <w:r w:rsidRPr="00413785">
        <w:t xml:space="preserve"> рассчитывается с точностью до второго знака после запятой, округление цифр при расчете производится по правилам математического округления.</w:t>
      </w:r>
    </w:p>
    <w:p w14:paraId="1A7877B5" w14:textId="12D213BF" w:rsidR="00EC73EC" w:rsidRPr="00413785" w:rsidRDefault="00EC73EC" w:rsidP="000219DF">
      <w:pPr>
        <w:pStyle w:val="BasicBoldItalic"/>
      </w:pPr>
      <w:r w:rsidRPr="00413785">
        <w:t>При этом под правилами математического округления следует понимать метод округления, при котором значение второго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1A951E0B" w14:textId="77777777" w:rsidR="00EC73EC" w:rsidRPr="00413785" w:rsidRDefault="00EC73EC" w:rsidP="000219DF">
      <w:pPr>
        <w:pStyle w:val="BasicBoldItalic"/>
      </w:pPr>
    </w:p>
    <w:p w14:paraId="65AE43D1" w14:textId="77777777" w:rsidR="00EC73EC" w:rsidRPr="00413785" w:rsidRDefault="00190C1F" w:rsidP="000219DF">
      <w:pPr>
        <w:pStyle w:val="BasicBoldItalic"/>
      </w:pPr>
      <m:oMath>
        <m:sSub>
          <m:sSubPr>
            <m:ctrlPr>
              <w:rPr>
                <w:rFonts w:ascii="Cambria Math" w:hAnsi="Cambria Math"/>
              </w:rPr>
            </m:ctrlPr>
          </m:sSubPr>
          <m:e>
            <m:r>
              <m:rPr>
                <m:sty m:val="bi"/>
              </m:rPr>
              <w:rPr>
                <w:rFonts w:ascii="Cambria Math" w:hAnsi="Cambria Math"/>
              </w:rPr>
              <m:t>Д</m:t>
            </m:r>
          </m:e>
          <m:sub>
            <m:r>
              <m:rPr>
                <m:sty m:val="bi"/>
              </m:rPr>
              <w:rPr>
                <w:rFonts w:ascii="Cambria Math" w:hAnsi="Cambria Math"/>
                <w:lang w:val="en-US"/>
              </w:rPr>
              <m:t>Dij</m:t>
            </m:r>
          </m:sub>
        </m:sSub>
      </m:oMath>
      <w:r w:rsidR="00EC73EC" w:rsidRPr="00413785">
        <w:t xml:space="preserve"> – доход по каждой Биржевой облигации, рассчитываемый на каждую календарную дату Di</w:t>
      </w:r>
      <w:r w:rsidR="00EC73EC" w:rsidRPr="00413785">
        <w:rPr>
          <w:lang w:val="en-US"/>
        </w:rPr>
        <w:t>j</w:t>
      </w:r>
      <w:r w:rsidR="00EC73EC" w:rsidRPr="00413785">
        <w:t>, в российских р</w:t>
      </w:r>
      <w:r w:rsidR="00EC73EC">
        <w:t>ублях, определяемый по формуле:</w:t>
      </w:r>
    </w:p>
    <w:p w14:paraId="696C8F20" w14:textId="77777777" w:rsidR="00EC73EC" w:rsidRPr="000219DF" w:rsidRDefault="00190C1F" w:rsidP="00EC73EC">
      <w:pPr>
        <w:pStyle w:val="Basic"/>
      </w:pPr>
      <m:oMathPara>
        <m:oMathParaPr>
          <m:jc m:val="center"/>
        </m:oMathParaPr>
        <m:oMath>
          <m:sSub>
            <m:sSubPr>
              <m:ctrlPr>
                <w:rPr>
                  <w:rFonts w:ascii="Cambria Math" w:hAnsi="Cambria Math"/>
                </w:rPr>
              </m:ctrlPr>
            </m:sSubPr>
            <m:e>
              <m:r>
                <m:rPr>
                  <m:sty m:val="p"/>
                </m:rPr>
                <w:rPr>
                  <w:rFonts w:ascii="Cambria Math" w:hAnsi="Cambria Math"/>
                </w:rPr>
                <m:t>Д</m:t>
              </m:r>
            </m:e>
            <m:sub>
              <m:r>
                <m:rPr>
                  <m:sty m:val="bi"/>
                </m:rPr>
                <w:rPr>
                  <w:rFonts w:ascii="Cambria Math" w:hAnsi="Cambria Math"/>
                  <w:lang w:val="en-US"/>
                </w:rPr>
                <m:t>Dij</m:t>
              </m:r>
            </m:sub>
          </m:sSub>
          <m:r>
            <m:rPr>
              <m:sty m:val="p"/>
            </m:rPr>
            <w:rPr>
              <w:rFonts w:ascii="Cambria Math" w:hAnsi="Cambria Math"/>
            </w:rPr>
            <m:t>=</m:t>
          </m:r>
          <m:r>
            <m:rPr>
              <m:sty m:val="bi"/>
            </m:rPr>
            <w:rPr>
              <w:rFonts w:ascii="Cambria Math" w:hAnsi="Cambria Math"/>
            </w:rPr>
            <m:t>Nom</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bi"/>
                    </m:rPr>
                    <w:rPr>
                      <w:rFonts w:ascii="Cambria Math" w:hAnsi="Cambria Math"/>
                      <w:lang w:val="en-US"/>
                    </w:rPr>
                    <m:t>R</m:t>
                  </m:r>
                </m:e>
                <m:sub>
                  <m:r>
                    <m:rPr>
                      <m:sty m:val="bi"/>
                    </m:rPr>
                    <w:rPr>
                      <w:rFonts w:ascii="Cambria Math" w:hAnsi="Cambria Math"/>
                    </w:rPr>
                    <m:t>Dij</m:t>
                  </m:r>
                </m:sub>
              </m:sSub>
            </m:num>
            <m:den>
              <m:r>
                <m:rPr>
                  <m:sty m:val="b"/>
                </m:rPr>
                <w:rPr>
                  <w:rFonts w:ascii="Cambria Math" w:hAnsi="Cambria Math"/>
                </w:rPr>
                <m:t>365</m:t>
              </m:r>
            </m:den>
          </m:f>
          <m:r>
            <m:rPr>
              <m:sty m:val="p"/>
            </m:rPr>
            <w:rPr>
              <w:rFonts w:ascii="Cambria Math" w:hAnsi="Cambria Math"/>
            </w:rPr>
            <m:t>*</m:t>
          </m:r>
          <m:r>
            <m:rPr>
              <m:sty m:val="b"/>
            </m:rPr>
            <w:rPr>
              <w:rFonts w:ascii="Cambria Math" w:hAnsi="Cambria Math"/>
            </w:rPr>
            <m:t>100</m:t>
          </m:r>
          <m:r>
            <m:rPr>
              <m:sty m:val="p"/>
            </m:rPr>
            <w:rPr>
              <w:rFonts w:ascii="Cambria Math" w:hAnsi="Cambria Math"/>
            </w:rPr>
            <m:t>%</m:t>
          </m:r>
        </m:oMath>
      </m:oMathPara>
    </w:p>
    <w:p w14:paraId="04BBB58A" w14:textId="77777777" w:rsidR="00EC73EC" w:rsidRPr="00413785" w:rsidRDefault="00EC73EC" w:rsidP="002477EA">
      <w:pPr>
        <w:pStyle w:val="BasicBoldItalic"/>
      </w:pPr>
      <w:r w:rsidRPr="00413785">
        <w:t>где:</w:t>
      </w:r>
    </w:p>
    <w:p w14:paraId="6557553D" w14:textId="77777777" w:rsidR="002477EA" w:rsidRDefault="00EC73EC" w:rsidP="002477EA">
      <w:pPr>
        <w:pStyle w:val="BasicBoldItalic"/>
      </w:pPr>
      <w:r w:rsidRPr="00413785">
        <w:t>Nom – номинальная стоимость одной Биржевой облигации в российских рублях;</w:t>
      </w:r>
    </w:p>
    <w:p w14:paraId="43309AE3" w14:textId="2879D7C4" w:rsidR="00EC73EC" w:rsidRPr="00413785" w:rsidRDefault="00190C1F" w:rsidP="002477EA">
      <w:pPr>
        <w:pStyle w:val="BasicBoldItalic"/>
      </w:pPr>
      <m:oMath>
        <m:sSub>
          <m:sSubPr>
            <m:ctrlPr>
              <w:rPr>
                <w:rFonts w:ascii="Cambria Math" w:hAnsi="Cambria Math"/>
              </w:rPr>
            </m:ctrlPr>
          </m:sSubPr>
          <m:e>
            <m:r>
              <m:rPr>
                <m:sty m:val="bi"/>
              </m:rPr>
              <w:rPr>
                <w:rFonts w:ascii="Cambria Math" w:hAnsi="Cambria Math"/>
                <w:lang w:val="en-US"/>
              </w:rPr>
              <m:t>R</m:t>
            </m:r>
          </m:e>
          <m:sub>
            <m:r>
              <m:rPr>
                <m:sty m:val="bi"/>
              </m:rPr>
              <w:rPr>
                <w:rFonts w:ascii="Cambria Math" w:hAnsi="Cambria Math"/>
              </w:rPr>
              <m:t>Di</m:t>
            </m:r>
            <m:r>
              <m:rPr>
                <m:sty m:val="bi"/>
              </m:rPr>
              <w:rPr>
                <w:rFonts w:ascii="Cambria Math" w:hAnsi="Cambria Math"/>
                <w:lang w:val="en-US"/>
              </w:rPr>
              <m:t>j</m:t>
            </m:r>
          </m:sub>
        </m:sSub>
      </m:oMath>
      <w:r w:rsidR="00EC73EC" w:rsidRPr="00413785">
        <w:t xml:space="preserve">  – размер процентной ставки на каждую дату Di</w:t>
      </w:r>
      <w:r w:rsidR="00EC73EC" w:rsidRPr="00413785">
        <w:rPr>
          <w:lang w:val="en-US"/>
        </w:rPr>
        <w:t>j</w:t>
      </w:r>
      <w:r w:rsidR="00EC73EC" w:rsidRPr="00413785">
        <w:t>, в процентах годовых, определяемый по формуле:</w:t>
      </w:r>
    </w:p>
    <w:p w14:paraId="3AB2BC99" w14:textId="77777777" w:rsidR="00EC73EC" w:rsidRPr="00413785" w:rsidRDefault="00190C1F" w:rsidP="002477EA">
      <w:pPr>
        <w:pStyle w:val="BasicBoldItalic"/>
      </w:pPr>
      <m:oMath>
        <m:sSub>
          <m:sSubPr>
            <m:ctrlPr>
              <w:rPr>
                <w:rFonts w:ascii="Cambria Math" w:hAnsi="Cambria Math"/>
              </w:rPr>
            </m:ctrlPr>
          </m:sSubPr>
          <m:e>
            <m:r>
              <m:rPr>
                <m:sty m:val="bi"/>
              </m:rPr>
              <w:rPr>
                <w:rFonts w:ascii="Cambria Math" w:hAnsi="Cambria Math"/>
                <w:lang w:val="en-US"/>
              </w:rPr>
              <m:t>R</m:t>
            </m:r>
          </m:e>
          <m:sub>
            <m:r>
              <m:rPr>
                <m:sty m:val="bi"/>
              </m:rPr>
              <w:rPr>
                <w:rFonts w:ascii="Cambria Math" w:hAnsi="Cambria Math"/>
              </w:rPr>
              <m:t>Dij</m:t>
            </m:r>
          </m:sub>
        </m:sSub>
      </m:oMath>
      <w:r w:rsidR="00EC73EC" w:rsidRPr="00413785">
        <w:t xml:space="preserve"> = R+</w:t>
      </w:r>
      <w:r w:rsidR="00EC73EC" w:rsidRPr="00413785">
        <w:rPr>
          <w:lang w:val="en-US"/>
        </w:rPr>
        <w:t>S</w:t>
      </w:r>
      <w:r w:rsidR="00EC73EC" w:rsidRPr="00413785">
        <w:t>, где</w:t>
      </w:r>
    </w:p>
    <w:p w14:paraId="75FA1404" w14:textId="77777777" w:rsidR="00EC73EC" w:rsidRPr="00413785" w:rsidRDefault="00EC73EC" w:rsidP="000219DF">
      <w:pPr>
        <w:pStyle w:val="BasicBoldItalic"/>
      </w:pPr>
      <w:r w:rsidRPr="00413785">
        <w:rPr>
          <w:lang w:val="en-US"/>
        </w:rPr>
        <w:t>R</w:t>
      </w:r>
      <w:r w:rsidRPr="00413785">
        <w:t xml:space="preserve"> - значение ключевой ставки Банка России (в процентах годовых) на 7-й (седьмой) день, предшествующий дате Di</w:t>
      </w:r>
      <w:r w:rsidRPr="00413785">
        <w:rPr>
          <w:lang w:val="en-US"/>
        </w:rPr>
        <w:t>j</w:t>
      </w:r>
      <w:r w:rsidRPr="00413785">
        <w:t xml:space="preserve"> (далее – Di</w:t>
      </w:r>
      <w:r w:rsidRPr="00413785">
        <w:rPr>
          <w:lang w:val="en-US"/>
        </w:rPr>
        <w:t>j</w:t>
      </w:r>
      <w:r w:rsidRPr="00413785">
        <w:t>-7), публикуемое на официальном сайте Банка России в сети «Интернет». В случае отсутствия опубликованного значения ключевой ставки Банка России на Di</w:t>
      </w:r>
      <w:r w:rsidRPr="00413785">
        <w:rPr>
          <w:lang w:val="en-US"/>
        </w:rPr>
        <w:t>j</w:t>
      </w:r>
      <w:r w:rsidRPr="00413785">
        <w:t>-7 день (в том числе, если Di</w:t>
      </w:r>
      <w:r w:rsidRPr="00413785">
        <w:rPr>
          <w:lang w:val="en-US"/>
        </w:rPr>
        <w:t>j</w:t>
      </w:r>
      <w:r w:rsidRPr="00413785">
        <w:t>-7 день является выходным или праздничным днем в Российской Федерации), значение ключевой ставки Банка России принимается равным последнему опубликованному значению. Если ключевая ставка Банка России упразднена и (или) перестает использоваться Банком России, ключевой ставкой Банка России будет считаться аналогичная ставка, устанавливаемая Банком России. Значение ключевой ставки Банка России определяется с точностью до второго знака после запятой в соответствии с правилами математического округления.</w:t>
      </w:r>
    </w:p>
    <w:p w14:paraId="15DEE6E0" w14:textId="77777777" w:rsidR="00EC73EC" w:rsidRPr="00413785" w:rsidRDefault="00EC73EC" w:rsidP="000219DF">
      <w:pPr>
        <w:pStyle w:val="BasicBoldItalic"/>
      </w:pPr>
      <w:r w:rsidRPr="00413785">
        <w:t>Di</w:t>
      </w:r>
      <w:r w:rsidRPr="00413785">
        <w:rPr>
          <w:lang w:val="en-US"/>
        </w:rPr>
        <w:t>j</w:t>
      </w:r>
      <w:r w:rsidRPr="00413785">
        <w:t xml:space="preserve"> – календарная дата, приходящаяся на</w:t>
      </w:r>
      <w:r w:rsidRPr="00413785">
        <w:rPr>
          <w:rFonts w:eastAsia="Calibri"/>
        </w:rPr>
        <w:t xml:space="preserve"> </w:t>
      </w:r>
      <w:r w:rsidRPr="00413785">
        <w:t>каждый (за исключением первого) j-й день i-го купонного периода, на которую рассчитывается доход;</w:t>
      </w:r>
    </w:p>
    <w:p w14:paraId="234BD7F3" w14:textId="77777777" w:rsidR="00EC73EC" w:rsidRPr="00413785" w:rsidRDefault="00EC73EC" w:rsidP="000219DF">
      <w:pPr>
        <w:pStyle w:val="BasicBoldItalic"/>
      </w:pPr>
      <w:r w:rsidRPr="00413785">
        <w:t>S – спред</w:t>
      </w:r>
      <w:r w:rsidRPr="00CF586E">
        <w:t>, надбавка</w:t>
      </w:r>
      <w:r w:rsidRPr="00413785">
        <w:t xml:space="preserve"> в процентах годовых (определяется Эмитентом и раскрывается Эмитентом в форме сообщения</w:t>
      </w:r>
      <w:r>
        <w:t xml:space="preserve"> </w:t>
      </w:r>
      <w:r w:rsidRPr="00CF586E">
        <w:t>о существенном факте</w:t>
      </w:r>
      <w:r w:rsidRPr="00413785">
        <w:t xml:space="preserve"> в Ленте новостей не позднее 1 (Одного) рабочего дня с даты установления Эмитентом значения S и до даты начала размещения Биржевых облигаций).</w:t>
      </w:r>
    </w:p>
    <w:p w14:paraId="2FA83E13" w14:textId="77777777" w:rsidR="00EC73EC" w:rsidRPr="00413785" w:rsidRDefault="00EC73EC" w:rsidP="000219DF">
      <w:pPr>
        <w:pStyle w:val="BasicBoldItalic"/>
      </w:pPr>
    </w:p>
    <w:p w14:paraId="64622C9A" w14:textId="77777777" w:rsidR="00EC73EC" w:rsidRPr="00413785" w:rsidRDefault="00EC73EC" w:rsidP="000219DF">
      <w:pPr>
        <w:pStyle w:val="BasicBoldItalic"/>
      </w:pPr>
      <w:r w:rsidRPr="00413785">
        <w:t>Эмитент информирует Биржу и НРД о принятых решениях, в том числе об определении Эмитентом значения S, в согласованном порядке.</w:t>
      </w:r>
    </w:p>
    <w:p w14:paraId="2555F7A6" w14:textId="77777777" w:rsidR="00EC73EC" w:rsidRPr="00413785" w:rsidRDefault="00EC73EC" w:rsidP="000219DF">
      <w:pPr>
        <w:pStyle w:val="BasicBoldItalic"/>
      </w:pPr>
    </w:p>
    <w:p w14:paraId="300D46C3" w14:textId="77777777" w:rsidR="002477EA" w:rsidRDefault="00EC73EC" w:rsidP="000219DF">
      <w:pPr>
        <w:pStyle w:val="BasicBoldItalic"/>
      </w:pPr>
      <w:r w:rsidRPr="00413785">
        <w:t>В любой день между датой начала размещения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1EBC0677" w14:textId="626DF999" w:rsidR="00EC73EC" w:rsidRPr="000219DF" w:rsidRDefault="00190C1F" w:rsidP="000219DF">
      <w:pPr>
        <w:pStyle w:val="Basic"/>
      </w:pPr>
      <m:oMathPara>
        <m:oMathParaPr>
          <m:jc m:val="center"/>
        </m:oMathParaPr>
        <m:oMath>
          <m:sSub>
            <m:sSubPr>
              <m:ctrlPr>
                <w:rPr>
                  <w:rFonts w:ascii="Cambria Math" w:hAnsi="Cambria Math"/>
                </w:rPr>
              </m:ctrlPr>
            </m:sSubPr>
            <m:e>
              <m:r>
                <m:rPr>
                  <m:sty m:val="p"/>
                </m:rPr>
                <w:rPr>
                  <w:rFonts w:ascii="Cambria Math" w:hAnsi="Cambria Math"/>
                </w:rPr>
                <m:t>НКД</m:t>
              </m:r>
            </m:e>
            <m:sub>
              <m:r>
                <m:rPr>
                  <m:sty m:val="p"/>
                </m:rPr>
                <w:rPr>
                  <w:rFonts w:ascii="Cambria Math" w:hAnsi="Cambria Math"/>
                </w:rPr>
                <m:t>Т</m:t>
              </m:r>
            </m:sub>
          </m:sSub>
          <m:r>
            <m:rPr>
              <m:sty m:val="p"/>
            </m:rPr>
            <w:rPr>
              <w:rFonts w:ascii="Cambria Math" w:hAnsi="Cambria Math"/>
            </w:rPr>
            <m:t>=</m:t>
          </m:r>
          <m:nary>
            <m:naryPr>
              <m:chr m:val="∑"/>
              <m:limLoc m:val="subSup"/>
              <m:ctrlPr>
                <w:rPr>
                  <w:rFonts w:ascii="Cambria Math" w:hAnsi="Cambria Math"/>
                </w:rPr>
              </m:ctrlPr>
            </m:naryPr>
            <m:sub>
              <m:r>
                <m:rPr>
                  <m:sty m:val="bi"/>
                </m:rPr>
                <w:rPr>
                  <w:rFonts w:ascii="Cambria Math" w:hAnsi="Cambria Math"/>
                </w:rPr>
                <m:t>Dij</m:t>
              </m:r>
              <m:r>
                <m:rPr>
                  <m:sty m:val="p"/>
                </m:rPr>
                <w:rPr>
                  <w:rFonts w:ascii="Cambria Math" w:hAnsi="Cambria Math"/>
                </w:rPr>
                <m:t>=</m:t>
              </m:r>
              <m:r>
                <m:rPr>
                  <m:sty m:val="bi"/>
                </m:rPr>
                <w:rPr>
                  <w:rFonts w:ascii="Cambria Math" w:hAnsi="Cambria Math"/>
                </w:rPr>
                <m:t>Di</m:t>
              </m:r>
              <m:r>
                <m:rPr>
                  <m:sty m:val="b"/>
                </m:rPr>
                <w:rPr>
                  <w:rFonts w:ascii="Cambria Math" w:hAnsi="Cambria Math"/>
                </w:rPr>
                <m:t>0</m:t>
              </m:r>
              <m:r>
                <m:rPr>
                  <m:sty m:val="p"/>
                </m:rPr>
                <w:rPr>
                  <w:rFonts w:ascii="Cambria Math" w:hAnsi="Cambria Math"/>
                </w:rPr>
                <m:t>+</m:t>
              </m:r>
              <m:r>
                <m:rPr>
                  <m:sty m:val="b"/>
                </m:rPr>
                <w:rPr>
                  <w:rFonts w:ascii="Cambria Math" w:hAnsi="Cambria Math"/>
                </w:rPr>
                <m:t>1</m:t>
              </m:r>
              <m:r>
                <m:rPr>
                  <m:sty m:val="p"/>
                </m:rPr>
                <w:rPr>
                  <w:rFonts w:ascii="Cambria Math" w:hAnsi="Cambria Math"/>
                </w:rPr>
                <m:t xml:space="preserve"> </m:t>
              </m:r>
            </m:sub>
            <m:sup>
              <m:r>
                <m:rPr>
                  <m:sty m:val="bi"/>
                </m:rPr>
                <w:rPr>
                  <w:rFonts w:ascii="Cambria Math" w:hAnsi="Cambria Math"/>
                </w:rPr>
                <m:t>T</m:t>
              </m:r>
              <m:r>
                <m:rPr>
                  <m:sty m:val="p"/>
                </m:rPr>
                <w:rPr>
                  <w:rFonts w:ascii="Cambria Math" w:hAnsi="Cambria Math"/>
                </w:rPr>
                <m:t xml:space="preserve"> </m:t>
              </m:r>
            </m:sup>
            <m:e>
              <m:sSub>
                <m:sSubPr>
                  <m:ctrlPr>
                    <w:rPr>
                      <w:rFonts w:ascii="Cambria Math" w:hAnsi="Cambria Math"/>
                    </w:rPr>
                  </m:ctrlPr>
                </m:sSubPr>
                <m:e>
                  <m:r>
                    <m:rPr>
                      <m:sty m:val="p"/>
                    </m:rPr>
                    <w:rPr>
                      <w:rFonts w:ascii="Cambria Math" w:hAnsi="Cambria Math"/>
                    </w:rPr>
                    <m:t>Д</m:t>
                  </m:r>
                </m:e>
                <m:sub>
                  <m:r>
                    <m:rPr>
                      <m:sty m:val="bi"/>
                    </m:rPr>
                    <w:rPr>
                      <w:rFonts w:ascii="Cambria Math" w:hAnsi="Cambria Math"/>
                    </w:rPr>
                    <m:t>Dij</m:t>
                  </m:r>
                </m:sub>
              </m:sSub>
            </m:e>
          </m:nary>
        </m:oMath>
      </m:oMathPara>
    </w:p>
    <w:p w14:paraId="2E50CA30" w14:textId="77777777" w:rsidR="00EC73EC" w:rsidRPr="00413785" w:rsidRDefault="00EC73EC" w:rsidP="000219DF">
      <w:pPr>
        <w:pStyle w:val="BasicBoldItalic"/>
      </w:pPr>
    </w:p>
    <w:p w14:paraId="785DCE94" w14:textId="77777777" w:rsidR="002477EA" w:rsidRDefault="00EC73EC" w:rsidP="000219DF">
      <w:pPr>
        <w:pStyle w:val="BasicBoldItalic"/>
      </w:pPr>
      <w:r w:rsidRPr="00413785">
        <w:t>где:</w:t>
      </w:r>
    </w:p>
    <w:p w14:paraId="24A62FF1" w14:textId="77777777" w:rsidR="002477EA" w:rsidRDefault="00EC73EC" w:rsidP="000219DF">
      <w:pPr>
        <w:pStyle w:val="BasicBoldItalic"/>
      </w:pPr>
      <w:r w:rsidRPr="00413785">
        <w:t>НКД</w:t>
      </w:r>
      <w:r w:rsidRPr="00413785">
        <w:rPr>
          <w:vertAlign w:val="subscript"/>
        </w:rPr>
        <w:t>Т</w:t>
      </w:r>
      <w:r w:rsidRPr="00413785">
        <w:t xml:space="preserve"> – размер накопленного купонного дохода на дату Т, в российских рублях;</w:t>
      </w:r>
    </w:p>
    <w:p w14:paraId="392EA9EE" w14:textId="41CB05B1" w:rsidR="00EC73EC" w:rsidRDefault="00EC73EC" w:rsidP="000219DF">
      <w:pPr>
        <w:pStyle w:val="BasicBoldItalic"/>
      </w:pPr>
      <w:r w:rsidRPr="00413785">
        <w:t xml:space="preserve">T – дата расчета накопленного купонного дохода внутри </w:t>
      </w:r>
      <w:r w:rsidRPr="00413785">
        <w:rPr>
          <w:lang w:val="en-US"/>
        </w:rPr>
        <w:t>i</w:t>
      </w:r>
      <w:r w:rsidRPr="00413785">
        <w:t>-го купонного периода;</w:t>
      </w:r>
    </w:p>
    <w:p w14:paraId="4E39E747" w14:textId="77777777" w:rsidR="00EC73EC" w:rsidRPr="00413785" w:rsidRDefault="00EC73EC" w:rsidP="000219DF">
      <w:pPr>
        <w:pStyle w:val="BasicBoldItalic"/>
      </w:pPr>
    </w:p>
    <w:p w14:paraId="480E17E4" w14:textId="77777777" w:rsidR="002477EA" w:rsidRDefault="00EC73EC" w:rsidP="000219DF">
      <w:pPr>
        <w:pStyle w:val="BasicBoldItalic"/>
      </w:pPr>
      <w:r w:rsidRPr="00413785">
        <w:t>Величина НКД</w:t>
      </w:r>
      <w:r w:rsidRPr="00413785">
        <w:rPr>
          <w:vertAlign w:val="subscript"/>
        </w:rPr>
        <w:t>Т</w:t>
      </w:r>
      <w:r w:rsidRPr="00413785">
        <w:t xml:space="preserve"> рассчитывается с точностью до второго знака после запятой,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второго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135CBEE5" w14:textId="168A05D2" w:rsidR="005A6843" w:rsidRDefault="005A6843" w:rsidP="000219DF">
      <w:pPr>
        <w:pStyle w:val="BasicBoldItalic"/>
      </w:pPr>
    </w:p>
    <w:p w14:paraId="163A7330" w14:textId="77777777" w:rsidR="002477EA" w:rsidRDefault="002477EA" w:rsidP="000219DF">
      <w:pPr>
        <w:pStyle w:val="BasicBoldItalic"/>
      </w:pPr>
      <w:r>
        <w:t>Иные сведения, подлежащие указанию в настоящем пункте, приведены в п. 9.3 Программы.</w:t>
      </w:r>
    </w:p>
    <w:p w14:paraId="66907545" w14:textId="5FB74E0F" w:rsidR="005A6843" w:rsidRDefault="005A6843" w:rsidP="000219DF">
      <w:pPr>
        <w:pStyle w:val="Basic"/>
      </w:pPr>
    </w:p>
    <w:p w14:paraId="35C4CCEC" w14:textId="77777777" w:rsidR="000219DF" w:rsidRPr="00413785" w:rsidRDefault="000219DF" w:rsidP="000219DF">
      <w:pPr>
        <w:pStyle w:val="Basic"/>
      </w:pPr>
      <w:r w:rsidRPr="00413785">
        <w:t>5.5. Порядок и срок выплаты дохода по облигациям</w:t>
      </w:r>
    </w:p>
    <w:p w14:paraId="4E63124A" w14:textId="77777777" w:rsidR="002477EA" w:rsidRDefault="002477EA" w:rsidP="00ED3DCE">
      <w:pPr>
        <w:pStyle w:val="Basic"/>
      </w:pPr>
      <w:r w:rsidRPr="000219DF">
        <w:t xml:space="preserve">Срок (дата) выплаты дохода по облигациям или порядок его определения. </w:t>
      </w:r>
    </w:p>
    <w:p w14:paraId="1FBBAF4D" w14:textId="584FE723" w:rsidR="002477EA" w:rsidRPr="00664E67" w:rsidRDefault="002477EA" w:rsidP="000219DF">
      <w:pPr>
        <w:pStyle w:val="BasicBoldItalic"/>
        <w:rPr>
          <w:b w:val="0"/>
          <w:i w:val="0"/>
        </w:rPr>
      </w:pPr>
      <w:r w:rsidRPr="00664E67">
        <w:rPr>
          <w:b w:val="0"/>
          <w:i w:val="0"/>
        </w:rPr>
        <w:t xml:space="preserve">Порядок выплаты дохода по </w:t>
      </w:r>
      <w:r w:rsidR="00ED3DCE" w:rsidRPr="00664E67">
        <w:rPr>
          <w:b w:val="0"/>
          <w:i w:val="0"/>
        </w:rPr>
        <w:t>Биржевым облигациям</w:t>
      </w:r>
      <w:r w:rsidRPr="00664E67">
        <w:rPr>
          <w:b w:val="0"/>
          <w:i w:val="0"/>
        </w:rPr>
        <w:t>, в том числе порядок выплаты (передачи) дохода по облигациям в неденежной форме в случае, если по облигациям предусматрив</w:t>
      </w:r>
      <w:r w:rsidR="00EA0089">
        <w:rPr>
          <w:b w:val="0"/>
          <w:i w:val="0"/>
        </w:rPr>
        <w:t>ается доход в неденежной форме.</w:t>
      </w:r>
    </w:p>
    <w:p w14:paraId="1B9D0E82" w14:textId="77777777" w:rsidR="002477EA" w:rsidRDefault="002477EA" w:rsidP="000219DF">
      <w:pPr>
        <w:pStyle w:val="BasicBoldItalic"/>
      </w:pPr>
      <w:r w:rsidRPr="000219DF">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Порядок определения даты окончания купонных периодов по Биржевым облигациям указан в п. 5.4 Решения о выпуске. </w:t>
      </w:r>
    </w:p>
    <w:p w14:paraId="504CBF52" w14:textId="77777777" w:rsidR="002477EA" w:rsidRDefault="002477EA" w:rsidP="000219DF">
      <w:pPr>
        <w:pStyle w:val="BasicBoldItalic"/>
      </w:pPr>
      <w:r w:rsidRPr="000219DF">
        <w:t xml:space="preserve">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 </w:t>
      </w:r>
    </w:p>
    <w:p w14:paraId="65E892B5" w14:textId="77777777" w:rsidR="002477EA" w:rsidRDefault="002477EA" w:rsidP="000219DF">
      <w:pPr>
        <w:pStyle w:val="BasicBoldItalic"/>
      </w:pPr>
      <w:r w:rsidRPr="000219DF">
        <w:t xml:space="preserve">Выплата купонного дохода производится денежными средствами в рублях Российской Федерации в безналичном порядке. </w:t>
      </w:r>
    </w:p>
    <w:p w14:paraId="11B539D6" w14:textId="77777777" w:rsidR="002477EA" w:rsidRDefault="002477EA" w:rsidP="000219DF">
      <w:pPr>
        <w:pStyle w:val="BasicBoldItalic"/>
      </w:pPr>
      <w:r w:rsidRPr="000219DF">
        <w:t>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9740253" w14:textId="77777777" w:rsidR="002477EA" w:rsidRDefault="002477EA" w:rsidP="000219DF">
      <w:pPr>
        <w:pStyle w:val="BasicBoldItalic"/>
      </w:pPr>
      <w:r w:rsidRPr="000219DF">
        <w:t>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 (НРД).  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 (НРД).</w:t>
      </w:r>
    </w:p>
    <w:p w14:paraId="154EE75C" w14:textId="77777777" w:rsidR="002477EA" w:rsidRDefault="002477EA" w:rsidP="000219DF">
      <w:pPr>
        <w:pStyle w:val="BasicBoldItalic"/>
      </w:pPr>
      <w:r w:rsidRPr="000219DF">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выплаты дохода по Биржевым облигациям через депозитарий, осуществляющий учет прав на Биржевые облигации, депонентами которого они являются. </w:t>
      </w:r>
    </w:p>
    <w:p w14:paraId="38E25B23" w14:textId="77777777" w:rsidR="002477EA" w:rsidRDefault="002477EA" w:rsidP="000219DF">
      <w:pPr>
        <w:pStyle w:val="BasicBoldItalic"/>
      </w:pPr>
      <w:r w:rsidRPr="000219DF">
        <w:t>Передача денежных выплат при выплате дохода по Биржевым облигациям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Биржевые облигации.</w:t>
      </w:r>
    </w:p>
    <w:p w14:paraId="4D07BA6E" w14:textId="77777777" w:rsidR="002477EA" w:rsidRDefault="002477EA" w:rsidP="000219DF">
      <w:pPr>
        <w:pStyle w:val="BasicBoldItalic"/>
      </w:pPr>
      <w:r w:rsidRPr="000219DF">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2914D82" w14:textId="5ECF2D3F" w:rsidR="005A6843" w:rsidRDefault="005A6843" w:rsidP="00ED3DCE">
      <w:pPr>
        <w:pStyle w:val="Basic"/>
      </w:pPr>
    </w:p>
    <w:p w14:paraId="542A5C03" w14:textId="77777777" w:rsidR="00ED3DCE" w:rsidRPr="00413785" w:rsidRDefault="00ED3DCE" w:rsidP="00ED3DCE">
      <w:pPr>
        <w:pStyle w:val="Basic"/>
      </w:pPr>
      <w:r w:rsidRPr="00413785">
        <w:t>5.6. Порядок и условия досрочного погашения облигаций</w:t>
      </w:r>
    </w:p>
    <w:p w14:paraId="52F63C26" w14:textId="77777777" w:rsidR="00613A43" w:rsidRDefault="00613A43" w:rsidP="00613A43">
      <w:pPr>
        <w:pStyle w:val="BasicBoldItalic"/>
      </w:pPr>
      <w:r>
        <w:t>Предусмотрена возможность досрочного погашения Биржевых облигаций по требованию их владельцев.</w:t>
      </w:r>
    </w:p>
    <w:p w14:paraId="4B6E6FB2" w14:textId="421DB962" w:rsidR="00613A43" w:rsidRDefault="00613A43" w:rsidP="00613A43">
      <w:pPr>
        <w:pStyle w:val="BasicBoldItalic"/>
      </w:pPr>
      <w:r w:rsidRPr="00613A43">
        <w:t>Досрочное погашение Биржевых облигаций по усмотрению Эмитента не предусматривается</w:t>
      </w:r>
      <w:r>
        <w:t>.</w:t>
      </w:r>
    </w:p>
    <w:p w14:paraId="1B747198" w14:textId="77777777" w:rsidR="00613A43" w:rsidRDefault="00613A43" w:rsidP="00613A43">
      <w:pPr>
        <w:pStyle w:val="BasicBoldItalic"/>
      </w:pPr>
    </w:p>
    <w:p w14:paraId="66BFDD19" w14:textId="3FA0EB6C" w:rsidR="00613A43" w:rsidRDefault="00613A43" w:rsidP="00613A43">
      <w:pPr>
        <w:pStyle w:val="BasicBoldItalic"/>
      </w:pPr>
      <w:r>
        <w:t>Досрочное погашение Биржевых облигаций допускается только после их полной оплаты.</w:t>
      </w:r>
    </w:p>
    <w:p w14:paraId="7D2050D9" w14:textId="1DCD79CE" w:rsidR="002477EA" w:rsidRDefault="00613A43" w:rsidP="002477EA">
      <w:pPr>
        <w:pStyle w:val="Basic"/>
      </w:pPr>
      <w:r>
        <w:t>Биржевые облигации, погашенные Эмитентом досрочно, не могут быть вновь выпущены в обращение.</w:t>
      </w:r>
    </w:p>
    <w:p w14:paraId="05A4AD5E" w14:textId="77777777" w:rsidR="002477EA" w:rsidRDefault="002477EA" w:rsidP="002477EA">
      <w:pPr>
        <w:pStyle w:val="Basic"/>
      </w:pPr>
      <w:r>
        <w:t>5.6.1 Досрочное погашение облигаций по требованию их владельцев:</w:t>
      </w:r>
    </w:p>
    <w:p w14:paraId="2729112A" w14:textId="77777777" w:rsidR="00613A43" w:rsidRPr="00613A43" w:rsidRDefault="00613A43" w:rsidP="00613A43">
      <w:pPr>
        <w:pStyle w:val="BasicBoldItalic"/>
        <w:rPr>
          <w:lang w:bidi="ru-RU"/>
        </w:rPr>
      </w:pPr>
      <w:r w:rsidRPr="00613A43">
        <w:rPr>
          <w:lang w:bidi="ru-RU"/>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6D843326" w14:textId="77777777" w:rsidR="00613A43" w:rsidRPr="00613A43" w:rsidRDefault="00613A43" w:rsidP="00613A43">
      <w:pPr>
        <w:pStyle w:val="BasicBoldItalic"/>
        <w:rPr>
          <w:lang w:bidi="ru-RU"/>
        </w:rPr>
      </w:pPr>
      <w:r w:rsidRPr="00613A43">
        <w:rPr>
          <w:lang w:bidi="ru-RU"/>
        </w:rPr>
        <w:t>Владелец облигаций, права которого на Биржевые облигации учитываются депозитарием, осуществляющим учет прав на них, предъявляет требование к Эмитенту о досрочном погашении Биржевых облигаций или отзывает такое требование путем дачи соответствующих указаний (инструкций) лицу, которое осуществляет учет его прав на Биржевые облигации.</w:t>
      </w:r>
    </w:p>
    <w:p w14:paraId="03AB302B" w14:textId="77777777" w:rsidR="00613A43" w:rsidRPr="00613A43" w:rsidRDefault="00613A43" w:rsidP="00613A43">
      <w:pPr>
        <w:pStyle w:val="BasicBoldItalic"/>
        <w:rPr>
          <w:lang w:bidi="ru-RU"/>
        </w:rPr>
      </w:pPr>
      <w:r w:rsidRPr="00613A43">
        <w:rPr>
          <w:lang w:bidi="ru-RU"/>
        </w:rPr>
        <w:t>Со дня получения НРД или номинальным держателем Биржевых облигаций от их владельца указания (инструкции) о предъявлении требования к Эмитенту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5963A2BC" w14:textId="77777777" w:rsidR="00613A43" w:rsidRPr="00613A43" w:rsidRDefault="00613A43" w:rsidP="00613A43">
      <w:pPr>
        <w:pStyle w:val="BasicBoldItalic"/>
        <w:rPr>
          <w:lang w:bidi="ru-RU"/>
        </w:rPr>
      </w:pPr>
      <w:r w:rsidRPr="00613A43">
        <w:rPr>
          <w:lang w:bidi="ru-RU"/>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w:t>
      </w:r>
    </w:p>
    <w:p w14:paraId="5E66DA37" w14:textId="77777777" w:rsidR="00613A43" w:rsidRPr="00613A43" w:rsidRDefault="00613A43" w:rsidP="00613A43">
      <w:pPr>
        <w:pStyle w:val="BasicBoldItalic"/>
        <w:rPr>
          <w:lang w:bidi="ru-RU"/>
        </w:rPr>
      </w:pPr>
      <w:r w:rsidRPr="00613A43">
        <w:rPr>
          <w:lang w:bidi="ru-RU"/>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ACE5A9B" w14:textId="37E82935" w:rsidR="00613A43" w:rsidRPr="00613A43" w:rsidRDefault="00613A43" w:rsidP="00613A43">
      <w:pPr>
        <w:pStyle w:val="BasicBoldItalic"/>
        <w:rPr>
          <w:lang w:bidi="ru-RU"/>
        </w:rPr>
      </w:pPr>
      <w:r w:rsidRPr="00613A43">
        <w:rPr>
          <w:lang w:bidi="ru-RU"/>
        </w:rPr>
        <w:t xml:space="preserve">Иные сведения, подлежащие указанию в настоящем пункте, приведены в п. </w:t>
      </w:r>
      <w:r w:rsidRPr="00613A43">
        <w:t xml:space="preserve">9.5.1 </w:t>
      </w:r>
      <w:r w:rsidRPr="00613A43">
        <w:rPr>
          <w:lang w:bidi="ru-RU"/>
        </w:rPr>
        <w:t>Программы.</w:t>
      </w:r>
    </w:p>
    <w:p w14:paraId="717BB004" w14:textId="6AC2A3AF" w:rsidR="005A6843" w:rsidRDefault="005A6843" w:rsidP="002477EA">
      <w:pPr>
        <w:pStyle w:val="Basic"/>
      </w:pPr>
    </w:p>
    <w:p w14:paraId="1613AA5E" w14:textId="77777777" w:rsidR="002477EA" w:rsidRDefault="002477EA" w:rsidP="007F46BD">
      <w:pPr>
        <w:pStyle w:val="Basic"/>
      </w:pPr>
      <w:r>
        <w:t>5.6.2 Досрочное погашение облигаций по усмотрению эмитента:</w:t>
      </w:r>
    </w:p>
    <w:p w14:paraId="71B02946" w14:textId="476558FD" w:rsidR="007F46BD" w:rsidRDefault="007F46BD" w:rsidP="002477EA">
      <w:pPr>
        <w:pStyle w:val="BasicBoldItalic"/>
      </w:pPr>
      <w:r w:rsidRPr="00563E82">
        <w:t>Досрочное погашение Биржевых облигаций по усмотрению Эмитента не предусматривается.</w:t>
      </w:r>
    </w:p>
    <w:p w14:paraId="64D2CD4B" w14:textId="77777777" w:rsidR="0062161B" w:rsidRDefault="0062161B" w:rsidP="002477EA">
      <w:pPr>
        <w:pStyle w:val="BasicBoldItalic"/>
        <w:rPr>
          <w:b w:val="0"/>
          <w:i w:val="0"/>
        </w:rPr>
      </w:pPr>
    </w:p>
    <w:p w14:paraId="0F48B9BE" w14:textId="0E22B6FD" w:rsidR="007F46BD" w:rsidRPr="0062161B" w:rsidRDefault="007F46BD" w:rsidP="002477EA">
      <w:pPr>
        <w:pStyle w:val="BasicBoldItalic"/>
        <w:rPr>
          <w:b w:val="0"/>
          <w:i w:val="0"/>
        </w:rPr>
      </w:pPr>
      <w:r w:rsidRPr="0062161B">
        <w:rPr>
          <w:b w:val="0"/>
          <w:i w:val="0"/>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740A6791" w14:textId="77777777" w:rsidR="007F46BD" w:rsidRDefault="007F46BD" w:rsidP="007F46BD">
      <w:pPr>
        <w:pStyle w:val="BasicBoldItalic"/>
      </w:pPr>
      <w:r w:rsidRPr="00563E82">
        <w:t>Биржевые облигации не являются облигациями без срока погашения.</w:t>
      </w:r>
    </w:p>
    <w:p w14:paraId="235B36B3" w14:textId="77777777" w:rsidR="007F46BD" w:rsidRDefault="007F46BD" w:rsidP="007F46BD">
      <w:pPr>
        <w:pStyle w:val="Basic"/>
      </w:pPr>
    </w:p>
    <w:p w14:paraId="3EBE1B98" w14:textId="0C25DB50" w:rsidR="007F46BD" w:rsidRPr="007F46BD" w:rsidRDefault="007F46BD" w:rsidP="007F46BD">
      <w:pPr>
        <w:pStyle w:val="Basic"/>
      </w:pPr>
      <w:r w:rsidRPr="007F46BD">
        <w:t>Для облигаций, эмитент которых идентифицирует настоящий выпуск облигаций с использованием слов «зеленые облигации», «адаптационные облигации», «социальные облигации», «облигации устойчивого развития»,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 либо указывается на то, что такое право владельцам облигаций не предоставляется.</w:t>
      </w:r>
    </w:p>
    <w:p w14:paraId="1E356366" w14:textId="77777777" w:rsidR="007F46BD" w:rsidRDefault="007F46BD" w:rsidP="007F46BD">
      <w:pPr>
        <w:pStyle w:val="BasicBoldItalic"/>
      </w:pPr>
      <w:r w:rsidRPr="00563E82">
        <w:t>Эмитент не идентифицирует Биржевые облигации с использованием «зеленые облигации», «адаптационные облигации», «социальные облигации», «облигации устойчивого развития»,</w:t>
      </w:r>
      <w:r>
        <w:t xml:space="preserve"> </w:t>
      </w:r>
      <w:r w:rsidRPr="00563E82">
        <w:t>«инфраструктурные облигации».</w:t>
      </w:r>
    </w:p>
    <w:p w14:paraId="23C216BA" w14:textId="5F6EFE32" w:rsidR="005A6843" w:rsidRDefault="005A6843" w:rsidP="002477EA">
      <w:pPr>
        <w:pStyle w:val="Basic"/>
      </w:pPr>
    </w:p>
    <w:p w14:paraId="2842F6A1" w14:textId="77777777" w:rsidR="007F46BD" w:rsidRPr="003932B0" w:rsidRDefault="007F46BD" w:rsidP="002477EA">
      <w:pPr>
        <w:pStyle w:val="BasicBoldItalic"/>
        <w:rPr>
          <w:b w:val="0"/>
          <w:i w:val="0"/>
        </w:rPr>
      </w:pPr>
      <w:r w:rsidRPr="003932B0">
        <w:rPr>
          <w:b w:val="0"/>
          <w:i w:val="0"/>
        </w:rPr>
        <w:t>5.7. Сведения о платежных агентах по облигациям</w:t>
      </w:r>
    </w:p>
    <w:p w14:paraId="0B7BA46E" w14:textId="77777777" w:rsidR="002477EA" w:rsidRDefault="002477EA" w:rsidP="002477EA">
      <w:pPr>
        <w:pStyle w:val="Basic"/>
      </w:pPr>
    </w:p>
    <w:p w14:paraId="7155374E" w14:textId="77777777" w:rsidR="002477EA" w:rsidRDefault="002477EA" w:rsidP="007F46BD">
      <w:pPr>
        <w:pStyle w:val="BasicBoldItalic"/>
      </w:pPr>
      <w:r>
        <w:t xml:space="preserve">На момент подписания Решения о выпуске платежный агент не назначен. </w:t>
      </w:r>
    </w:p>
    <w:p w14:paraId="0B55238A" w14:textId="77777777" w:rsidR="002477EA" w:rsidRDefault="002477EA" w:rsidP="007F46BD">
      <w:pPr>
        <w:pStyle w:val="BasicBoldItalic"/>
      </w:pPr>
      <w:r>
        <w:t>Эмитент может назначать платежных агентов и отменять такие назначения при осуществлении досрочного погашения Биржевых облигаций по требованию их владельцев в соответствии с п. 9.5.1 Программы.</w:t>
      </w:r>
    </w:p>
    <w:p w14:paraId="5C411A1B" w14:textId="77777777" w:rsidR="002477EA" w:rsidRDefault="002477EA" w:rsidP="007F46BD">
      <w:pPr>
        <w:pStyle w:val="BasicBoldItalic"/>
      </w:pPr>
    </w:p>
    <w:p w14:paraId="5A00512C" w14:textId="77777777" w:rsidR="002477EA" w:rsidRDefault="002477EA" w:rsidP="007F46BD">
      <w:pPr>
        <w:pStyle w:val="BasicBoldItalic"/>
      </w:pPr>
      <w:r>
        <w:t xml:space="preserve">Эмитент не может одновременно назначить нескольких платежных агентов по Выпуску Биржевых облигаций. </w:t>
      </w:r>
    </w:p>
    <w:p w14:paraId="5936DAB3" w14:textId="77777777" w:rsidR="002477EA" w:rsidRDefault="002477EA" w:rsidP="007F46BD">
      <w:pPr>
        <w:pStyle w:val="BasicBoldItalic"/>
      </w:pPr>
    </w:p>
    <w:p w14:paraId="11B7878F" w14:textId="77777777" w:rsidR="002477EA" w:rsidRDefault="002477EA" w:rsidP="007F46BD">
      <w:pPr>
        <w:pStyle w:val="BasicBoldItalic"/>
      </w:pPr>
      <w:r>
        <w:t xml:space="preserve">Порядок раскрытия информации о таких действиях: </w:t>
      </w:r>
    </w:p>
    <w:p w14:paraId="2918D8AB" w14:textId="77777777" w:rsidR="002477EA" w:rsidRDefault="002477EA" w:rsidP="007F46BD">
      <w:pPr>
        <w:pStyle w:val="BasicBoldItalic"/>
      </w:pPr>
      <w:r>
        <w:t>Информация о назначении Эмитентом платежного агента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w:t>
      </w:r>
    </w:p>
    <w:p w14:paraId="6D63F25A" w14:textId="77777777" w:rsidR="002477EA" w:rsidRDefault="007F46BD" w:rsidP="007F46BD">
      <w:pPr>
        <w:pStyle w:val="BasicBoldItalic"/>
      </w:pPr>
      <w:r>
        <w:t xml:space="preserve">- </w:t>
      </w:r>
      <w:r w:rsidR="002477EA">
        <w:t xml:space="preserve">в Ленте новостей – не позднее 1 (Одного) дня; </w:t>
      </w:r>
    </w:p>
    <w:p w14:paraId="1DF49052" w14:textId="77777777" w:rsidR="002477EA" w:rsidRDefault="007F46BD" w:rsidP="007F46BD">
      <w:pPr>
        <w:pStyle w:val="BasicBoldItalic"/>
      </w:pPr>
      <w:r>
        <w:t xml:space="preserve">- </w:t>
      </w:r>
      <w:r w:rsidR="002477EA">
        <w:t>на Странице в сети Интернет – не позднее 2 (Двух) дней.</w:t>
      </w:r>
    </w:p>
    <w:p w14:paraId="2E2D42EF" w14:textId="77777777" w:rsidR="002477EA" w:rsidRDefault="002477EA" w:rsidP="007F46BD">
      <w:pPr>
        <w:pStyle w:val="BasicBoldItalic"/>
      </w:pPr>
      <w:r>
        <w:t>При этом публикация на Странице в Cети Интернет осуществляется после публикации в Ленте новостей.</w:t>
      </w:r>
    </w:p>
    <w:p w14:paraId="196D989A" w14:textId="77777777" w:rsidR="002477EA" w:rsidRDefault="002477EA" w:rsidP="002477EA">
      <w:pPr>
        <w:pStyle w:val="Basic"/>
      </w:pPr>
    </w:p>
    <w:p w14:paraId="3F30E3C3" w14:textId="77777777" w:rsidR="007F46BD" w:rsidRDefault="007F46BD" w:rsidP="007F46BD">
      <w:pPr>
        <w:pStyle w:val="Basic"/>
      </w:pPr>
      <w: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519E7B71" w14:textId="77777777" w:rsidR="007F46BD" w:rsidRDefault="007F46BD" w:rsidP="007F46BD">
      <w:pPr>
        <w:pStyle w:val="Basic"/>
      </w:pPr>
    </w:p>
    <w:p w14:paraId="47F28274" w14:textId="77777777" w:rsidR="007F46BD" w:rsidRDefault="007F46BD" w:rsidP="007F46BD">
      <w:pPr>
        <w:pStyle w:val="Basic"/>
      </w:pPr>
      <w:r>
        <w:t>5.8.1. Прекращение обязательств по облигациям.</w:t>
      </w:r>
    </w:p>
    <w:p w14:paraId="3D838544" w14:textId="53483FA2" w:rsidR="007F46BD" w:rsidRDefault="003932B0" w:rsidP="002477EA">
      <w:pPr>
        <w:pStyle w:val="BasicBoldItalic"/>
      </w:pPr>
      <w:r>
        <w:t xml:space="preserve">Не применимо. Эмитент не является кредитной организацией. </w:t>
      </w:r>
      <w:r w:rsidR="007F46BD">
        <w:t>Возможность прекращения обязательств по Биржевым облигациям не предусматривается.</w:t>
      </w:r>
    </w:p>
    <w:p w14:paraId="799C5578" w14:textId="77777777" w:rsidR="007F46BD" w:rsidRDefault="007F46BD" w:rsidP="007F46BD">
      <w:pPr>
        <w:pStyle w:val="Basic"/>
      </w:pPr>
    </w:p>
    <w:p w14:paraId="7D87DFA4" w14:textId="77777777" w:rsidR="007F46BD" w:rsidRDefault="007F46BD" w:rsidP="007F46BD">
      <w:pPr>
        <w:pStyle w:val="Basic"/>
      </w:pPr>
      <w:r>
        <w:t>5.8.2. Прощение долга по облигациям субординированного облигационного займа.</w:t>
      </w:r>
    </w:p>
    <w:p w14:paraId="609B8AF1" w14:textId="647B4721" w:rsidR="007F46BD" w:rsidRDefault="003932B0" w:rsidP="002477EA">
      <w:pPr>
        <w:pStyle w:val="BasicBoldItalic"/>
      </w:pPr>
      <w:r>
        <w:t xml:space="preserve">Не применимо. Эмитент не является кредитной организацией. </w:t>
      </w:r>
      <w:r w:rsidR="007F46BD">
        <w:t>Возможность прощения долга по Биржевым облигациям не предусматривается.</w:t>
      </w:r>
    </w:p>
    <w:p w14:paraId="1C841441" w14:textId="77777777" w:rsidR="002477EA" w:rsidRDefault="002477EA" w:rsidP="007F46BD">
      <w:pPr>
        <w:pStyle w:val="Basic"/>
      </w:pPr>
    </w:p>
    <w:p w14:paraId="1B15D247" w14:textId="77777777" w:rsidR="002477EA" w:rsidRDefault="002477EA" w:rsidP="003544A7">
      <w:pPr>
        <w:pStyle w:val="Heading10"/>
      </w:pPr>
      <w:r w:rsidRPr="003544A7">
        <w:t xml:space="preserve">6. Сведения о приобретении облигаций </w:t>
      </w:r>
    </w:p>
    <w:p w14:paraId="0DF77F5D" w14:textId="1209BFF5" w:rsidR="007F46BD" w:rsidRDefault="007F46BD" w:rsidP="000D23E5">
      <w:pPr>
        <w:pStyle w:val="BasicBoldItalic"/>
      </w:pPr>
      <w:r w:rsidRPr="00563E82">
        <w:t>Приобретение Биржевых облигаций по требованию владельцев не предусмотрено.</w:t>
      </w:r>
    </w:p>
    <w:p w14:paraId="0392B040" w14:textId="7896DFB3" w:rsidR="005A6843" w:rsidRDefault="005A6843" w:rsidP="000D23E5">
      <w:pPr>
        <w:pStyle w:val="BasicBoldItalic"/>
      </w:pPr>
    </w:p>
    <w:p w14:paraId="10040D5D" w14:textId="4C666178" w:rsidR="000D23E5" w:rsidRDefault="000D23E5" w:rsidP="000D23E5">
      <w:pPr>
        <w:pStyle w:val="BasicBoldItalic"/>
      </w:pPr>
      <w:r w:rsidRPr="00563E82">
        <w:t>Предусмотрена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w:t>
      </w:r>
    </w:p>
    <w:p w14:paraId="068161E2" w14:textId="77777777" w:rsidR="000D23E5" w:rsidRDefault="000D23E5" w:rsidP="000D23E5">
      <w:pPr>
        <w:pStyle w:val="BasicBoldItalic"/>
      </w:pPr>
      <w:r w:rsidRPr="00563E82">
        <w:t>Оплата Биржевых облигаций при их приобретении производится денежными средствами в безналичном порядке в рублях Российской Федерации.</w:t>
      </w:r>
    </w:p>
    <w:p w14:paraId="7A062A73" w14:textId="6C3A5960" w:rsidR="002477EA" w:rsidRDefault="000D23E5" w:rsidP="000D23E5">
      <w:pPr>
        <w:pStyle w:val="BasicBoldItalic"/>
      </w:pPr>
      <w: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Эмитента о приобретении Биржевых облигаций.</w:t>
      </w:r>
    </w:p>
    <w:p w14:paraId="66217A47" w14:textId="571096BC" w:rsidR="000D23E5" w:rsidRDefault="000D23E5" w:rsidP="000D23E5">
      <w:pPr>
        <w:pStyle w:val="BasicBoldItalic"/>
      </w:pPr>
      <w:r w:rsidRPr="00563E82">
        <w:t>При этом приобретение Биржевых облигаций осуществляется с учетом следующих особенностей:</w:t>
      </w:r>
    </w:p>
    <w:p w14:paraId="2D5CE01E" w14:textId="77777777" w:rsidR="000D23E5" w:rsidRDefault="000D23E5" w:rsidP="000D23E5">
      <w:pPr>
        <w:pStyle w:val="BasicBoldItalic"/>
      </w:pPr>
      <w:r w:rsidRPr="00563E82">
        <w:t>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w:t>
      </w:r>
    </w:p>
    <w:p w14:paraId="5F0EAF12" w14:textId="72463B24" w:rsidR="000D23E5" w:rsidRDefault="000D23E5" w:rsidP="000D23E5">
      <w:pPr>
        <w:pStyle w:val="BasicBoldItalic"/>
      </w:pPr>
      <w:r w:rsidRPr="00563E82">
        <w:t xml:space="preserve">Предъявление требования о приобретении Биржевых облигаций осуществляется путем подачи заявки в соответствии с </w:t>
      </w:r>
      <w:r w:rsidR="00351D0B">
        <w:t>п</w:t>
      </w:r>
      <w:r w:rsidR="00351D0B" w:rsidRPr="00563E82">
        <w:t xml:space="preserve">равилами </w:t>
      </w:r>
      <w:r w:rsidRPr="00563E82">
        <w:t>торгов Биржи, зарегистрированными в установленном порядке и действующими на дату проведения торгов. В течение установленного срока предъявления требований о приобретении Биржевых облигаций и в соответствии с регламентом и расписанием, согласованными с Биржей, владелец Биржевых облигаций или уполномоченное им лицо вправе подать адресную заявку на продажу Биржевых облигаций.</w:t>
      </w:r>
    </w:p>
    <w:p w14:paraId="515F2D04" w14:textId="09A4E478" w:rsidR="000D23E5" w:rsidRDefault="000D23E5" w:rsidP="000D23E5">
      <w:pPr>
        <w:pStyle w:val="BasicBoldItalic"/>
      </w:pPr>
      <w:r w:rsidRPr="00563E82">
        <w:t>Владелец Биржевых облигаций, права которого на Биржевые облигации учитываются НРД или номинальным держателем, вправе предъявлять требование к Эмитенту о приобретении Биржевых облигаций путем дачи соответствующих указаний (инструкций) лицу, которое осуществляет учет его прав на Биржевые облигации. В этом случае указание (инструкция) дается в соответствии со статьей 8.9 Федерального закона «О рынке ценных бумаг», а владелец не вправе распоряжаться Биржевыми облигациями, предъявленными для приобретения,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1E5DED48" w14:textId="543875C9" w:rsidR="00351D0B" w:rsidRDefault="000D23E5" w:rsidP="000D23E5">
      <w:pPr>
        <w:pStyle w:val="BasicBoldItalic"/>
      </w:pPr>
      <w:r w:rsidRPr="00563E82">
        <w:t>Биржевые облигации приобретаются на внебиржевом рынке путем перевода Биржевых облигаций в порядке, предусмотренном действующим законодательством Российской Федерации, с учетом правил, установленных депозитарием, осуществляющим централизованный учет прав на Биржевые облигации, для взаимодействия при приобретении и для перевода Эмитентом денежных средств во исполнение обязательств по заявленным, в порядке предусмотренном статьей 17.3 Федерального закона «О рынке ценных бумаг», требованиям о приобретении.</w:t>
      </w:r>
    </w:p>
    <w:p w14:paraId="5392A249" w14:textId="77777777" w:rsidR="00351D0B" w:rsidRDefault="00351D0B" w:rsidP="000D23E5">
      <w:pPr>
        <w:pStyle w:val="BasicBoldItalic"/>
      </w:pPr>
    </w:p>
    <w:p w14:paraId="4B4EC65F" w14:textId="6C3F4DA5" w:rsidR="000D23E5" w:rsidRDefault="000D23E5" w:rsidP="000D23E5">
      <w:pPr>
        <w:pStyle w:val="BasicBoldItalic"/>
      </w:pPr>
      <w:r w:rsidRPr="00563E82">
        <w:t>Иные сведения, подлежащие указанию в настоящем пункте, приведены в п. 10 Программы.</w:t>
      </w:r>
    </w:p>
    <w:p w14:paraId="7F04A83E" w14:textId="77777777" w:rsidR="000D23E5" w:rsidRDefault="000D23E5" w:rsidP="000D23E5">
      <w:pPr>
        <w:pStyle w:val="Basic"/>
      </w:pPr>
    </w:p>
    <w:p w14:paraId="3B0C3744" w14:textId="77777777" w:rsidR="003544A7" w:rsidRPr="00413785" w:rsidRDefault="003544A7" w:rsidP="003544A7">
      <w:pPr>
        <w:pStyle w:val="Heading10"/>
      </w:pPr>
      <w:r w:rsidRPr="00413785">
        <w:t>7. Сведения об обеспечении исполнения обязательств по облигациям выпуска</w:t>
      </w:r>
    </w:p>
    <w:p w14:paraId="5EB11128" w14:textId="77777777" w:rsidR="003544A7" w:rsidRPr="00413785" w:rsidRDefault="003544A7" w:rsidP="003544A7">
      <w:pPr>
        <w:pStyle w:val="Basic"/>
      </w:pPr>
    </w:p>
    <w:p w14:paraId="49EC031F" w14:textId="77777777" w:rsidR="003544A7" w:rsidRPr="00413785" w:rsidRDefault="003544A7" w:rsidP="003544A7">
      <w:pPr>
        <w:pStyle w:val="Basic"/>
      </w:pPr>
      <w:r w:rsidRPr="00413785">
        <w:t>7.1. Вид предоставляемого обеспечения</w:t>
      </w:r>
    </w:p>
    <w:p w14:paraId="7E40A30F" w14:textId="77777777" w:rsidR="003544A7" w:rsidRPr="00036596" w:rsidRDefault="003544A7" w:rsidP="00EC73EC">
      <w:pPr>
        <w:pStyle w:val="BasicBoldItalic"/>
      </w:pPr>
      <w:r w:rsidRPr="00036596">
        <w:t>Предоставление обеспечения по Биржевым облигациям не предусмотрено.</w:t>
      </w:r>
    </w:p>
    <w:p w14:paraId="10BC7EBF" w14:textId="77777777" w:rsidR="003544A7" w:rsidRPr="00413785" w:rsidRDefault="003544A7" w:rsidP="003544A7">
      <w:pPr>
        <w:pStyle w:val="Basic"/>
      </w:pPr>
    </w:p>
    <w:p w14:paraId="2A572873" w14:textId="77777777" w:rsidR="003544A7" w:rsidRPr="00413785" w:rsidRDefault="003544A7" w:rsidP="003544A7">
      <w:pPr>
        <w:pStyle w:val="Basic"/>
      </w:pPr>
      <w:r w:rsidRPr="00413785">
        <w:t>7.2. Сведения о лице, предоставляющем обеспечение исполнения обязательств по облигациям</w:t>
      </w:r>
    </w:p>
    <w:p w14:paraId="6CB78D0E" w14:textId="77777777" w:rsidR="003544A7" w:rsidRPr="00036596" w:rsidRDefault="003544A7" w:rsidP="00EC73EC">
      <w:pPr>
        <w:pStyle w:val="BasicBoldItalic"/>
      </w:pPr>
      <w:r w:rsidRPr="00036596">
        <w:t>Предоставление обеспечения по Биржевым облигациям не предусмотрено.</w:t>
      </w:r>
    </w:p>
    <w:p w14:paraId="58AB44A6" w14:textId="77777777" w:rsidR="003544A7" w:rsidRPr="00413785" w:rsidRDefault="003544A7" w:rsidP="003544A7">
      <w:pPr>
        <w:pStyle w:val="Basic"/>
      </w:pPr>
    </w:p>
    <w:p w14:paraId="3D758A2B" w14:textId="77777777" w:rsidR="003544A7" w:rsidRPr="00413785" w:rsidRDefault="003544A7" w:rsidP="003544A7">
      <w:pPr>
        <w:pStyle w:val="Basic"/>
      </w:pPr>
      <w:r w:rsidRPr="00413785">
        <w:t>7.3. Условия обеспечения исполнения обязательств по облигациям</w:t>
      </w:r>
    </w:p>
    <w:p w14:paraId="614262BE" w14:textId="77777777" w:rsidR="003544A7" w:rsidRPr="00036596" w:rsidRDefault="003544A7" w:rsidP="00EC73EC">
      <w:pPr>
        <w:pStyle w:val="BasicBoldItalic"/>
      </w:pPr>
      <w:r w:rsidRPr="00036596">
        <w:t>Предоставление обеспечения по Биржевым облигациям не предусмотрено.</w:t>
      </w:r>
    </w:p>
    <w:p w14:paraId="4AD30C08" w14:textId="77777777" w:rsidR="003544A7" w:rsidRPr="00413785" w:rsidRDefault="003544A7" w:rsidP="003544A7">
      <w:pPr>
        <w:pStyle w:val="Basic"/>
      </w:pPr>
    </w:p>
    <w:p w14:paraId="1D817629" w14:textId="77777777" w:rsidR="003544A7" w:rsidRPr="00413785" w:rsidRDefault="003544A7" w:rsidP="003544A7">
      <w:pPr>
        <w:pStyle w:val="Basic"/>
      </w:pPr>
      <w:r w:rsidRPr="00413785">
        <w:t>7.4. 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w:t>
      </w:r>
    </w:p>
    <w:p w14:paraId="0A9EC1EA" w14:textId="77777777" w:rsidR="003544A7" w:rsidRPr="00036596" w:rsidRDefault="003544A7" w:rsidP="00EC73EC">
      <w:pPr>
        <w:pStyle w:val="BasicBoldItalic"/>
      </w:pPr>
      <w:r w:rsidRPr="00036596">
        <w:t>Предоставление обеспечения по Биржевым облигациям не предусмотрено.</w:t>
      </w:r>
    </w:p>
    <w:p w14:paraId="0781D845" w14:textId="77777777" w:rsidR="003544A7" w:rsidRPr="003544A7" w:rsidRDefault="003544A7" w:rsidP="002477EA">
      <w:pPr>
        <w:pStyle w:val="Basic"/>
      </w:pPr>
    </w:p>
    <w:p w14:paraId="1B5293A1" w14:textId="77777777" w:rsidR="003544A7" w:rsidRPr="00413785" w:rsidRDefault="003544A7" w:rsidP="003544A7">
      <w:pPr>
        <w:pStyle w:val="Heading10"/>
      </w:pPr>
      <w:r w:rsidRPr="00413785">
        <w:t>8. Дополнительные сведения о зеленых облигациях, социальных облигациях, облигациях устойчивого развития, инфраструктурных облигациях, адаптационных облигациях, облигациях, связанных с целями устойчивого развития, облигациях климатического перехода</w:t>
      </w:r>
    </w:p>
    <w:p w14:paraId="1FE364BC" w14:textId="77777777" w:rsidR="002477EA" w:rsidRDefault="003544A7" w:rsidP="00EC73EC">
      <w:pPr>
        <w:pStyle w:val="BasicBoldItalic"/>
      </w:pPr>
      <w:r w:rsidRPr="00036596">
        <w:t xml:space="preserve">Не применимо. Такая идентификация для Биржевых облигаций не установлена. </w:t>
      </w:r>
    </w:p>
    <w:p w14:paraId="0768FA16" w14:textId="599763FA" w:rsidR="003544A7" w:rsidRPr="003544A7" w:rsidRDefault="003544A7" w:rsidP="002477EA">
      <w:pPr>
        <w:pStyle w:val="Basic"/>
      </w:pPr>
    </w:p>
    <w:p w14:paraId="614ECE8B" w14:textId="77777777" w:rsidR="003544A7" w:rsidRPr="00413785" w:rsidRDefault="003544A7" w:rsidP="003544A7">
      <w:pPr>
        <w:pStyle w:val="Heading10"/>
      </w:pPr>
      <w:r w:rsidRPr="00413785">
        <w:t>9. Сведения о представителе владельцев облигаций</w:t>
      </w:r>
    </w:p>
    <w:p w14:paraId="27569F50" w14:textId="77777777" w:rsidR="003544A7" w:rsidRPr="007043D8" w:rsidRDefault="003544A7" w:rsidP="002477EA">
      <w:pPr>
        <w:pStyle w:val="BasicBoldItalic"/>
      </w:pPr>
      <w:r w:rsidRPr="007043D8">
        <w:t>На дату подписания Решения о выпуске представитель владельцев</w:t>
      </w:r>
      <w:r w:rsidRPr="003544A7">
        <w:t xml:space="preserve"> </w:t>
      </w:r>
      <w:r w:rsidRPr="007043D8">
        <w:t>Биржевых</w:t>
      </w:r>
      <w:r w:rsidRPr="002477EA">
        <w:t xml:space="preserve"> </w:t>
      </w:r>
      <w:r w:rsidRPr="007043D8">
        <w:t>облигаций</w:t>
      </w:r>
      <w:r w:rsidRPr="002477EA">
        <w:t xml:space="preserve"> </w:t>
      </w:r>
      <w:r w:rsidRPr="007043D8">
        <w:t>не</w:t>
      </w:r>
      <w:r w:rsidRPr="002477EA">
        <w:t xml:space="preserve"> </w:t>
      </w:r>
      <w:r w:rsidRPr="007043D8">
        <w:t>определен.</w:t>
      </w:r>
    </w:p>
    <w:p w14:paraId="412A7A5B" w14:textId="77777777" w:rsidR="003544A7" w:rsidRPr="003544A7" w:rsidRDefault="003544A7" w:rsidP="002477EA">
      <w:pPr>
        <w:pStyle w:val="Basic"/>
      </w:pPr>
    </w:p>
    <w:p w14:paraId="15A4DB0A" w14:textId="77777777" w:rsidR="003544A7" w:rsidRPr="00413785" w:rsidRDefault="003544A7" w:rsidP="003544A7">
      <w:pPr>
        <w:pStyle w:val="Basic"/>
      </w:pPr>
      <w:r w:rsidRPr="00413785">
        <w:t>9(1). Сведения о компетенции общего собрания владельцев облигаций</w:t>
      </w:r>
    </w:p>
    <w:p w14:paraId="7073CA46" w14:textId="590405A3" w:rsidR="003544A7" w:rsidRPr="00036596" w:rsidRDefault="003544A7" w:rsidP="00EC73EC">
      <w:pPr>
        <w:pStyle w:val="BasicBoldItalic"/>
      </w:pPr>
      <w:r w:rsidRPr="00036596">
        <w:t xml:space="preserve">Решением о выпуске не предусмотрены вопросы, дополнительно к вопросам, предусмотренным пунктом 1 статьи 29.7 Федерального закона «О рынке ценных бумаг», отнесенные к компетенции общего собрания владельцев </w:t>
      </w:r>
      <w:r w:rsidR="0047678A">
        <w:t xml:space="preserve">Биржевых </w:t>
      </w:r>
      <w:r w:rsidRPr="00036596">
        <w:t>облигаций.</w:t>
      </w:r>
    </w:p>
    <w:p w14:paraId="2523CFC0" w14:textId="77777777" w:rsidR="003544A7" w:rsidRPr="003544A7" w:rsidRDefault="003544A7" w:rsidP="002477EA">
      <w:pPr>
        <w:pStyle w:val="Basic"/>
      </w:pPr>
    </w:p>
    <w:p w14:paraId="69E5B703" w14:textId="77777777" w:rsidR="003544A7" w:rsidRPr="00413785" w:rsidRDefault="003544A7" w:rsidP="003544A7">
      <w:pPr>
        <w:pStyle w:val="Heading10"/>
      </w:pPr>
      <w:r w:rsidRPr="00413785">
        <w:t>10. Обязательство эмитента</w:t>
      </w:r>
    </w:p>
    <w:p w14:paraId="2CAAEC1F" w14:textId="77777777" w:rsidR="003544A7" w:rsidRPr="00036596" w:rsidRDefault="003544A7" w:rsidP="00EC73EC">
      <w:pPr>
        <w:pStyle w:val="BasicBoldItalic"/>
      </w:pPr>
      <w:r w:rsidRPr="00036596">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43128AB" w14:textId="77777777" w:rsidR="003544A7" w:rsidRPr="00413785" w:rsidRDefault="003544A7" w:rsidP="003544A7"/>
    <w:p w14:paraId="5CF205EE" w14:textId="77777777" w:rsidR="003544A7" w:rsidRPr="00413785" w:rsidRDefault="003544A7" w:rsidP="003544A7">
      <w:pPr>
        <w:pStyle w:val="Heading10"/>
      </w:pPr>
      <w:r w:rsidRPr="00413785">
        <w:t>11. Обязательство лиц, предоставивших обеспечение по облигациям</w:t>
      </w:r>
    </w:p>
    <w:p w14:paraId="4BDA652F" w14:textId="77777777" w:rsidR="003544A7" w:rsidRPr="00036596" w:rsidRDefault="003544A7" w:rsidP="00EC73EC">
      <w:pPr>
        <w:pStyle w:val="BasicBoldItalic"/>
      </w:pPr>
      <w:r w:rsidRPr="00036596">
        <w:t>Предоставление обеспечения по Биржевым облигациям не предусмотрено.</w:t>
      </w:r>
    </w:p>
    <w:p w14:paraId="1468A13B" w14:textId="77777777" w:rsidR="003544A7" w:rsidRPr="003544A7" w:rsidRDefault="003544A7" w:rsidP="002477EA">
      <w:pPr>
        <w:pStyle w:val="Basic"/>
      </w:pPr>
    </w:p>
    <w:p w14:paraId="0CFE1028" w14:textId="77777777" w:rsidR="003544A7" w:rsidRPr="00413785" w:rsidRDefault="003544A7" w:rsidP="003544A7">
      <w:pPr>
        <w:pStyle w:val="Heading10"/>
      </w:pPr>
      <w:r w:rsidRPr="00413785">
        <w:t>12. Иные сведения</w:t>
      </w:r>
    </w:p>
    <w:p w14:paraId="09BE7918" w14:textId="77777777" w:rsidR="003544A7" w:rsidRPr="00036596" w:rsidRDefault="003544A7" w:rsidP="00EC73EC">
      <w:pPr>
        <w:pStyle w:val="BasicBoldItalic"/>
      </w:pPr>
      <w:r w:rsidRPr="00036596">
        <w:t>Иные сведения, подлежащие включению в Решение о выпуске, а также раскрываемые Эмитентом по собственному усмотрению, указаны в Программе.</w:t>
      </w:r>
    </w:p>
    <w:p w14:paraId="6B3847C9" w14:textId="77777777" w:rsidR="005A6843" w:rsidRDefault="005A6843" w:rsidP="003544A7"/>
    <w:sectPr w:rsidR="005A6843">
      <w:headerReference w:type="even" r:id="rId7"/>
      <w:headerReference w:type="default" r:id="rId8"/>
      <w:footerReference w:type="even" r:id="rId9"/>
      <w:footerReference w:type="default" r:id="rId10"/>
      <w:headerReference w:type="first" r:id="rId11"/>
      <w:footerReference w:type="first" r:id="rId12"/>
      <w:pgSz w:w="11906" w:h="16838"/>
      <w:pgMar w:top="854" w:right="701" w:bottom="1035" w:left="1133" w:header="72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C5580" w14:textId="77777777" w:rsidR="007D244F" w:rsidRDefault="002477EA">
      <w:r>
        <w:separator/>
      </w:r>
    </w:p>
  </w:endnote>
  <w:endnote w:type="continuationSeparator" w:id="0">
    <w:p w14:paraId="5A75A6BF" w14:textId="77777777" w:rsidR="007D244F" w:rsidRDefault="0024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0CAB2" w14:textId="77777777" w:rsidR="002477EA" w:rsidRDefault="002477EA">
    <w:pPr>
      <w:spacing w:line="259" w:lineRule="auto"/>
      <w:ind w:right="6"/>
      <w:jc w:val="right"/>
      <w:rPr>
        <w:sz w:val="20"/>
      </w:rPr>
    </w:pPr>
    <w:r>
      <w:fldChar w:fldCharType="begin"/>
    </w:r>
    <w:r>
      <w:instrText xml:space="preserve"> PAGE   \* MERGEFORMAT </w:instrText>
    </w:r>
    <w:r>
      <w:fldChar w:fldCharType="separate"/>
    </w:r>
    <w:r>
      <w:rPr>
        <w:sz w:val="20"/>
      </w:rPr>
      <w:t>1</w:t>
    </w:r>
    <w:r>
      <w:rPr>
        <w:sz w:val="20"/>
      </w:rPr>
      <w:fldChar w:fldCharType="end"/>
    </w:r>
  </w:p>
  <w:p w14:paraId="54F0AED9" w14:textId="77777777" w:rsidR="002477EA" w:rsidRDefault="002477EA">
    <w:pPr>
      <w:spacing w:line="259" w:lineRule="auto"/>
      <w:rPr>
        <w:sz w:val="20"/>
      </w:rPr>
    </w:pPr>
  </w:p>
  <w:p w14:paraId="6854152F" w14:textId="08BCFADD" w:rsidR="005A6843" w:rsidRDefault="005A6843">
    <w:pPr>
      <w:spacing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4FCC" w14:textId="2AF68129" w:rsidR="002477EA" w:rsidRDefault="002477EA" w:rsidP="002477EA">
    <w:pPr>
      <w:spacing w:line="259" w:lineRule="auto"/>
      <w:ind w:right="6"/>
      <w:jc w:val="right"/>
    </w:pPr>
    <w:r w:rsidRPr="002477EA">
      <w:fldChar w:fldCharType="begin"/>
    </w:r>
    <w:r w:rsidRPr="002477EA">
      <w:instrText xml:space="preserve"> PAGE   \* MERGEFORMAT </w:instrText>
    </w:r>
    <w:r w:rsidRPr="002477EA">
      <w:fldChar w:fldCharType="separate"/>
    </w:r>
    <w:r w:rsidR="00190C1F">
      <w:rPr>
        <w:noProof/>
      </w:rPr>
      <w:t>2</w:t>
    </w:r>
    <w:r w:rsidRPr="002477EA">
      <w:fldChar w:fldCharType="end"/>
    </w:r>
  </w:p>
  <w:p w14:paraId="723C1C4C" w14:textId="3070AE5F" w:rsidR="005A6843" w:rsidRPr="002477EA" w:rsidRDefault="005A6843" w:rsidP="002477EA">
    <w:pPr>
      <w:spacing w:line="259" w:lineRule="auto"/>
      <w:ind w:right="6"/>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9F882" w14:textId="77777777" w:rsidR="002477EA" w:rsidRDefault="002477EA">
    <w:pPr>
      <w:spacing w:line="259" w:lineRule="auto"/>
      <w:ind w:right="6"/>
      <w:jc w:val="right"/>
      <w:rPr>
        <w:sz w:val="20"/>
      </w:rPr>
    </w:pPr>
    <w:r>
      <w:fldChar w:fldCharType="begin"/>
    </w:r>
    <w:r>
      <w:instrText xml:space="preserve"> PAGE   \* MERGEFORMAT </w:instrText>
    </w:r>
    <w:r>
      <w:fldChar w:fldCharType="separate"/>
    </w:r>
    <w:r>
      <w:rPr>
        <w:sz w:val="20"/>
      </w:rPr>
      <w:t>1</w:t>
    </w:r>
    <w:r>
      <w:rPr>
        <w:sz w:val="20"/>
      </w:rPr>
      <w:fldChar w:fldCharType="end"/>
    </w:r>
  </w:p>
  <w:p w14:paraId="1CAF8D27" w14:textId="77777777" w:rsidR="002477EA" w:rsidRDefault="002477EA">
    <w:pPr>
      <w:spacing w:line="259" w:lineRule="auto"/>
      <w:rPr>
        <w:sz w:val="20"/>
      </w:rPr>
    </w:pPr>
  </w:p>
  <w:p w14:paraId="779EF598" w14:textId="650F72AF" w:rsidR="005A6843" w:rsidRDefault="005A6843">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9257A" w14:textId="77777777" w:rsidR="007D244F" w:rsidRDefault="002477EA">
      <w:r>
        <w:separator/>
      </w:r>
    </w:p>
  </w:footnote>
  <w:footnote w:type="continuationSeparator" w:id="0">
    <w:p w14:paraId="0EB763AA" w14:textId="77777777" w:rsidR="007D244F" w:rsidRDefault="00247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1435" w14:textId="77777777" w:rsidR="00EE5DCE" w:rsidRDefault="00EE5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C599" w14:textId="77777777" w:rsidR="00EE5DCE" w:rsidRDefault="00EE5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354C4" w14:textId="77777777" w:rsidR="00EE5DCE" w:rsidRDefault="00EE5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4240"/>
    <w:multiLevelType w:val="multilevel"/>
    <w:tmpl w:val="C81464CE"/>
    <w:lvl w:ilvl="0">
      <w:start w:val="5"/>
      <w:numFmt w:val="decimal"/>
      <w:lvlText w:val="%1."/>
      <w:lvlJc w:val="left"/>
      <w:pPr>
        <w:ind w:left="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62139E"/>
    <w:multiLevelType w:val="hybridMultilevel"/>
    <w:tmpl w:val="9AE81D80"/>
    <w:lvl w:ilvl="0" w:tplc="1E8AE194">
      <w:start w:val="1"/>
      <w:numFmt w:val="decimal"/>
      <w:lvlText w:val="%1."/>
      <w:lvlJc w:val="left"/>
      <w:pPr>
        <w:ind w:left="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824A24">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A8D894">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34FE70">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AA9C42">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D89DC6">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9833F4">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8EB910">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4AD254">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AB1B37"/>
    <w:multiLevelType w:val="multilevel"/>
    <w:tmpl w:val="830AA9A4"/>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FE78F7"/>
    <w:multiLevelType w:val="multilevel"/>
    <w:tmpl w:val="DCC63A04"/>
    <w:lvl w:ilvl="0">
      <w:start w:val="7"/>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860F00"/>
    <w:multiLevelType w:val="multilevel"/>
    <w:tmpl w:val="4770F498"/>
    <w:lvl w:ilvl="0">
      <w:start w:val="4"/>
      <w:numFmt w:val="decimal"/>
      <w:lvlText w:val="%1."/>
      <w:lvlJc w:val="left"/>
      <w:pPr>
        <w:ind w:left="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E33DF0"/>
    <w:multiLevelType w:val="hybridMultilevel"/>
    <w:tmpl w:val="C0F28036"/>
    <w:lvl w:ilvl="0" w:tplc="21D4209C">
      <w:start w:val="1"/>
      <w:numFmt w:val="bullet"/>
      <w:lvlText w:val="-"/>
      <w:lvlJc w:val="left"/>
      <w:pPr>
        <w:ind w:left="67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7967FC8">
      <w:start w:val="1"/>
      <w:numFmt w:val="bullet"/>
      <w:lvlText w:val="o"/>
      <w:lvlJc w:val="left"/>
      <w:pPr>
        <w:ind w:left="16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A566B872">
      <w:start w:val="1"/>
      <w:numFmt w:val="bullet"/>
      <w:lvlText w:val="▪"/>
      <w:lvlJc w:val="left"/>
      <w:pPr>
        <w:ind w:left="23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6EC05E12">
      <w:start w:val="1"/>
      <w:numFmt w:val="bullet"/>
      <w:lvlText w:val="•"/>
      <w:lvlJc w:val="left"/>
      <w:pPr>
        <w:ind w:left="30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2863A38">
      <w:start w:val="1"/>
      <w:numFmt w:val="bullet"/>
      <w:lvlText w:val="o"/>
      <w:lvlJc w:val="left"/>
      <w:pPr>
        <w:ind w:left="37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E08ABD86">
      <w:start w:val="1"/>
      <w:numFmt w:val="bullet"/>
      <w:lvlText w:val="▪"/>
      <w:lvlJc w:val="left"/>
      <w:pPr>
        <w:ind w:left="45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7602AC16">
      <w:start w:val="1"/>
      <w:numFmt w:val="bullet"/>
      <w:lvlText w:val="•"/>
      <w:lvlJc w:val="left"/>
      <w:pPr>
        <w:ind w:left="52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BC44490">
      <w:start w:val="1"/>
      <w:numFmt w:val="bullet"/>
      <w:lvlText w:val="o"/>
      <w:lvlJc w:val="left"/>
      <w:pPr>
        <w:ind w:left="59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DE28DDA">
      <w:start w:val="1"/>
      <w:numFmt w:val="bullet"/>
      <w:lvlText w:val="▪"/>
      <w:lvlJc w:val="left"/>
      <w:pPr>
        <w:ind w:left="66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43"/>
    <w:rsid w:val="000219DF"/>
    <w:rsid w:val="00036596"/>
    <w:rsid w:val="00047BB0"/>
    <w:rsid w:val="000D23E5"/>
    <w:rsid w:val="00172DD6"/>
    <w:rsid w:val="00190C1F"/>
    <w:rsid w:val="00201FA0"/>
    <w:rsid w:val="002477EA"/>
    <w:rsid w:val="00251747"/>
    <w:rsid w:val="00351D0B"/>
    <w:rsid w:val="003544A7"/>
    <w:rsid w:val="003932B0"/>
    <w:rsid w:val="003C55A5"/>
    <w:rsid w:val="0047678A"/>
    <w:rsid w:val="004C604A"/>
    <w:rsid w:val="00575490"/>
    <w:rsid w:val="005A6843"/>
    <w:rsid w:val="006024AB"/>
    <w:rsid w:val="00613A43"/>
    <w:rsid w:val="0062161B"/>
    <w:rsid w:val="00664E67"/>
    <w:rsid w:val="00725AAF"/>
    <w:rsid w:val="007D244F"/>
    <w:rsid w:val="007F46BD"/>
    <w:rsid w:val="00870FB1"/>
    <w:rsid w:val="008A27A2"/>
    <w:rsid w:val="009E39CF"/>
    <w:rsid w:val="00A61E91"/>
    <w:rsid w:val="00B46713"/>
    <w:rsid w:val="00C30F80"/>
    <w:rsid w:val="00CE419C"/>
    <w:rsid w:val="00DB07F6"/>
    <w:rsid w:val="00DC4433"/>
    <w:rsid w:val="00EA0089"/>
    <w:rsid w:val="00EC73EC"/>
    <w:rsid w:val="00ED3DCE"/>
    <w:rsid w:val="00EE5DCE"/>
    <w:rsid w:val="00F41547"/>
    <w:rsid w:val="00FB0829"/>
    <w:rsid w:val="00FD5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5B534"/>
  <w15:docId w15:val="{F576E872-DA24-4324-8C02-1AC62E3A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3EC"/>
    <w:pPr>
      <w:spacing w:after="0" w:line="240" w:lineRule="auto"/>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3544A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5DCE"/>
    <w:pPr>
      <w:tabs>
        <w:tab w:val="center" w:pos="4677"/>
        <w:tab w:val="right" w:pos="9355"/>
      </w:tabs>
    </w:pPr>
  </w:style>
  <w:style w:type="character" w:customStyle="1" w:styleId="HeaderChar">
    <w:name w:val="Header Char"/>
    <w:basedOn w:val="DefaultParagraphFont"/>
    <w:link w:val="Header"/>
    <w:uiPriority w:val="99"/>
    <w:rsid w:val="00EE5DCE"/>
    <w:rPr>
      <w:rFonts w:ascii="Times New Roman" w:eastAsia="Times New Roman" w:hAnsi="Times New Roman" w:cs="Times New Roman"/>
      <w:b/>
      <w:i/>
      <w:color w:val="000000"/>
    </w:rPr>
  </w:style>
  <w:style w:type="character" w:styleId="CommentReference">
    <w:name w:val="annotation reference"/>
    <w:basedOn w:val="DefaultParagraphFont"/>
    <w:uiPriority w:val="99"/>
    <w:semiHidden/>
    <w:unhideWhenUsed/>
    <w:rsid w:val="003544A7"/>
    <w:rPr>
      <w:sz w:val="16"/>
      <w:szCs w:val="16"/>
    </w:rPr>
  </w:style>
  <w:style w:type="paragraph" w:styleId="CommentText">
    <w:name w:val="annotation text"/>
    <w:basedOn w:val="Normal"/>
    <w:link w:val="CommentTextChar"/>
    <w:uiPriority w:val="99"/>
    <w:semiHidden/>
    <w:unhideWhenUsed/>
    <w:rsid w:val="003544A7"/>
    <w:rPr>
      <w:sz w:val="20"/>
      <w:szCs w:val="20"/>
    </w:rPr>
  </w:style>
  <w:style w:type="character" w:customStyle="1" w:styleId="CommentTextChar">
    <w:name w:val="Comment Text Char"/>
    <w:basedOn w:val="DefaultParagraphFont"/>
    <w:link w:val="CommentText"/>
    <w:uiPriority w:val="99"/>
    <w:semiHidden/>
    <w:rsid w:val="003544A7"/>
    <w:rPr>
      <w:rFonts w:ascii="Times New Roman" w:eastAsia="Times New Roman" w:hAnsi="Times New Roman" w:cs="Times New Roman"/>
      <w:b/>
      <w:i/>
      <w:color w:val="000000"/>
      <w:sz w:val="20"/>
      <w:szCs w:val="20"/>
    </w:rPr>
  </w:style>
  <w:style w:type="paragraph" w:styleId="CommentSubject">
    <w:name w:val="annotation subject"/>
    <w:basedOn w:val="CommentText"/>
    <w:next w:val="CommentText"/>
    <w:link w:val="CommentSubjectChar"/>
    <w:uiPriority w:val="99"/>
    <w:semiHidden/>
    <w:unhideWhenUsed/>
    <w:rsid w:val="003544A7"/>
    <w:rPr>
      <w:bCs/>
    </w:rPr>
  </w:style>
  <w:style w:type="character" w:customStyle="1" w:styleId="CommentSubjectChar">
    <w:name w:val="Comment Subject Char"/>
    <w:basedOn w:val="CommentTextChar"/>
    <w:link w:val="CommentSubject"/>
    <w:uiPriority w:val="99"/>
    <w:semiHidden/>
    <w:rsid w:val="003544A7"/>
    <w:rPr>
      <w:rFonts w:ascii="Times New Roman" w:eastAsia="Times New Roman" w:hAnsi="Times New Roman" w:cs="Times New Roman"/>
      <w:b/>
      <w:bCs/>
      <w:i/>
      <w:color w:val="000000"/>
      <w:sz w:val="20"/>
      <w:szCs w:val="20"/>
    </w:rPr>
  </w:style>
  <w:style w:type="paragraph" w:styleId="BalloonText">
    <w:name w:val="Balloon Text"/>
    <w:basedOn w:val="Normal"/>
    <w:link w:val="BalloonTextChar"/>
    <w:uiPriority w:val="99"/>
    <w:semiHidden/>
    <w:unhideWhenUsed/>
    <w:rsid w:val="00354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A7"/>
    <w:rPr>
      <w:rFonts w:ascii="Segoe UI" w:eastAsia="Times New Roman" w:hAnsi="Segoe UI" w:cs="Segoe UI"/>
      <w:b/>
      <w:i/>
      <w:color w:val="000000"/>
      <w:sz w:val="18"/>
      <w:szCs w:val="18"/>
    </w:rPr>
  </w:style>
  <w:style w:type="paragraph" w:customStyle="1" w:styleId="Heading10">
    <w:name w:val="Heading1"/>
    <w:basedOn w:val="Heading1"/>
    <w:rsid w:val="00EC73EC"/>
    <w:pPr>
      <w:widowControl w:val="0"/>
      <w:autoSpaceDE w:val="0"/>
      <w:autoSpaceDN w:val="0"/>
      <w:spacing w:after="120"/>
      <w:ind w:firstLine="539"/>
    </w:pPr>
    <w:rPr>
      <w:rFonts w:ascii="Times New Roman" w:hAnsi="Times New Roman"/>
      <w:b/>
      <w:color w:val="auto"/>
      <w:sz w:val="24"/>
      <w:szCs w:val="20"/>
    </w:rPr>
  </w:style>
  <w:style w:type="paragraph" w:customStyle="1" w:styleId="Basic">
    <w:name w:val="Basic"/>
    <w:basedOn w:val="Normal"/>
    <w:link w:val="BasicChar"/>
    <w:rsid w:val="007F46BD"/>
    <w:pPr>
      <w:ind w:firstLine="540"/>
      <w:jc w:val="both"/>
    </w:pPr>
    <w:rPr>
      <w:color w:val="auto"/>
      <w:szCs w:val="20"/>
      <w:lang w:eastAsia="en-US"/>
    </w:rPr>
  </w:style>
  <w:style w:type="character" w:customStyle="1" w:styleId="BasicChar">
    <w:name w:val="Basic Char"/>
    <w:link w:val="Basic"/>
    <w:locked/>
    <w:rsid w:val="007F46BD"/>
    <w:rPr>
      <w:rFonts w:ascii="Times New Roman" w:eastAsia="Times New Roman" w:hAnsi="Times New Roman" w:cs="Times New Roman"/>
      <w:szCs w:val="20"/>
      <w:lang w:eastAsia="en-US"/>
    </w:rPr>
  </w:style>
  <w:style w:type="paragraph" w:styleId="BodyText">
    <w:name w:val="Body Text"/>
    <w:basedOn w:val="Normal"/>
    <w:link w:val="BodyTextChar"/>
    <w:uiPriority w:val="1"/>
    <w:qFormat/>
    <w:rsid w:val="003544A7"/>
    <w:pPr>
      <w:widowControl w:val="0"/>
      <w:autoSpaceDE w:val="0"/>
      <w:autoSpaceDN w:val="0"/>
      <w:ind w:left="142"/>
    </w:pPr>
    <w:rPr>
      <w:b/>
      <w:bCs/>
      <w:i/>
      <w:iCs/>
      <w:color w:val="auto"/>
      <w:lang w:eastAsia="en-US"/>
    </w:rPr>
  </w:style>
  <w:style w:type="character" w:customStyle="1" w:styleId="Heading1Char">
    <w:name w:val="Heading 1 Char"/>
    <w:basedOn w:val="DefaultParagraphFont"/>
    <w:link w:val="Heading1"/>
    <w:uiPriority w:val="9"/>
    <w:rsid w:val="003544A7"/>
    <w:rPr>
      <w:rFonts w:asciiTheme="majorHAnsi" w:eastAsiaTheme="majorEastAsia" w:hAnsiTheme="majorHAnsi" w:cstheme="majorBidi"/>
      <w:color w:val="2E74B5" w:themeColor="accent1" w:themeShade="BF"/>
      <w:sz w:val="32"/>
      <w:szCs w:val="32"/>
    </w:rPr>
  </w:style>
  <w:style w:type="character" w:customStyle="1" w:styleId="BodyTextChar">
    <w:name w:val="Body Text Char"/>
    <w:basedOn w:val="DefaultParagraphFont"/>
    <w:link w:val="BodyText"/>
    <w:uiPriority w:val="1"/>
    <w:rsid w:val="003544A7"/>
    <w:rPr>
      <w:rFonts w:ascii="Times New Roman" w:eastAsia="Times New Roman" w:hAnsi="Times New Roman" w:cs="Times New Roman"/>
      <w:b/>
      <w:bCs/>
      <w:i/>
      <w:iCs/>
      <w:lang w:eastAsia="en-US"/>
    </w:rPr>
  </w:style>
  <w:style w:type="table" w:styleId="TableGrid0">
    <w:name w:val="Table Grid"/>
    <w:basedOn w:val="TableNormal"/>
    <w:uiPriority w:val="39"/>
    <w:rsid w:val="009E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nsPlusNormalJustifiedFirstline095cmBefore10">
    <w:name w:val="Style ConsPlusNormal + Justified First line:  0.95 cm Before:  10..."/>
    <w:basedOn w:val="Normal"/>
    <w:rsid w:val="00036596"/>
    <w:pPr>
      <w:widowControl w:val="0"/>
      <w:autoSpaceDE w:val="0"/>
      <w:autoSpaceDN w:val="0"/>
      <w:spacing w:before="120"/>
      <w:ind w:firstLine="539"/>
    </w:pPr>
    <w:rPr>
      <w:color w:val="auto"/>
      <w:szCs w:val="20"/>
    </w:rPr>
  </w:style>
  <w:style w:type="paragraph" w:customStyle="1" w:styleId="BasicBoldItalic">
    <w:name w:val="Basic + Bold Italic"/>
    <w:basedOn w:val="Basic"/>
    <w:rsid w:val="00EC73EC"/>
    <w:rPr>
      <w:b/>
      <w:bCs/>
      <w:i/>
      <w:iCs/>
    </w:rPr>
  </w:style>
  <w:style w:type="paragraph" w:customStyle="1" w:styleId="Base">
    <w:name w:val="Base"/>
    <w:rsid w:val="007F46BD"/>
    <w:pPr>
      <w:spacing w:before="60" w:after="60" w:line="240" w:lineRule="auto"/>
      <w:ind w:firstLine="567"/>
      <w:jc w:val="both"/>
    </w:pPr>
    <w:rPr>
      <w:rFonts w:ascii="Times New Roman" w:eastAsia="Times New Roman" w:hAnsi="Times New Roman" w:cs="Times New Roman"/>
      <w:b/>
      <w:bCs/>
      <w:i/>
      <w:i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41349">
      <w:bodyDiv w:val="1"/>
      <w:marLeft w:val="0"/>
      <w:marRight w:val="0"/>
      <w:marTop w:val="0"/>
      <w:marBottom w:val="0"/>
      <w:divBdr>
        <w:top w:val="none" w:sz="0" w:space="0" w:color="auto"/>
        <w:left w:val="none" w:sz="0" w:space="0" w:color="auto"/>
        <w:bottom w:val="none" w:sz="0" w:space="0" w:color="auto"/>
        <w:right w:val="none" w:sz="0" w:space="0" w:color="auto"/>
      </w:divBdr>
    </w:div>
    <w:div w:id="1137575161">
      <w:bodyDiv w:val="1"/>
      <w:marLeft w:val="0"/>
      <w:marRight w:val="0"/>
      <w:marTop w:val="0"/>
      <w:marBottom w:val="0"/>
      <w:divBdr>
        <w:top w:val="none" w:sz="0" w:space="0" w:color="auto"/>
        <w:left w:val="none" w:sz="0" w:space="0" w:color="auto"/>
        <w:bottom w:val="none" w:sz="0" w:space="0" w:color="auto"/>
        <w:right w:val="none" w:sz="0" w:space="0" w:color="auto"/>
      </w:divBdr>
    </w:div>
    <w:div w:id="1250890729">
      <w:bodyDiv w:val="1"/>
      <w:marLeft w:val="0"/>
      <w:marRight w:val="0"/>
      <w:marTop w:val="0"/>
      <w:marBottom w:val="0"/>
      <w:divBdr>
        <w:top w:val="none" w:sz="0" w:space="0" w:color="auto"/>
        <w:left w:val="none" w:sz="0" w:space="0" w:color="auto"/>
        <w:bottom w:val="none" w:sz="0" w:space="0" w:color="auto"/>
        <w:right w:val="none" w:sz="0" w:space="0" w:color="auto"/>
      </w:divBdr>
    </w:div>
    <w:div w:id="213143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3137</Words>
  <Characters>21980</Characters>
  <Application>Microsoft Office Word</Application>
  <DocSecurity>0</DocSecurity>
  <Lines>465</Lines>
  <Paragraphs>202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ПАО Сбербанк России</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Сесекина Юлия Александровна</cp:lastModifiedBy>
  <cp:revision>7</cp:revision>
  <cp:lastPrinted>2026-05-21T13:15:00Z</cp:lastPrinted>
  <dcterms:created xsi:type="dcterms:W3CDTF">2026-05-20T17:25:00Z</dcterms:created>
  <dcterms:modified xsi:type="dcterms:W3CDTF">2026-05-21T13:15:00Z</dcterms:modified>
</cp:coreProperties>
</file>